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val="0"/>
        <w:topLinePunct/>
        <w:autoSpaceDE w:val="0"/>
        <w:autoSpaceDN w:val="0"/>
        <w:bidi w:val="0"/>
        <w:adjustRightInd w:val="0"/>
        <w:snapToGrid w:val="0"/>
        <w:spacing w:before="0" w:beforeAutospacing="0" w:after="0" w:afterAutospacing="0" w:line="240" w:lineRule="auto"/>
        <w:ind w:right="-512" w:rightChars="-244"/>
        <w:jc w:val="both"/>
        <w:textAlignment w:val="auto"/>
        <w:rPr>
          <w:rFonts w:hint="eastAsia" w:cs="方正小标宋_GBK" w:asciiTheme="majorEastAsia" w:hAnsiTheme="majorEastAsia" w:eastAsiaTheme="majorEastAsia"/>
          <w:kern w:val="2"/>
          <w:sz w:val="44"/>
          <w:szCs w:val="44"/>
        </w:rPr>
      </w:pPr>
    </w:p>
    <w:p>
      <w:pPr>
        <w:pStyle w:val="5"/>
        <w:keepNext w:val="0"/>
        <w:keepLines w:val="0"/>
        <w:pageBreakBefore w:val="0"/>
        <w:widowControl/>
        <w:shd w:val="clear" w:color="auto" w:fill="FFFFFF"/>
        <w:kinsoku/>
        <w:wordWrap/>
        <w:overflowPunct w:val="0"/>
        <w:topLinePunct/>
        <w:autoSpaceDE w:val="0"/>
        <w:autoSpaceDN w:val="0"/>
        <w:bidi w:val="0"/>
        <w:adjustRightInd w:val="0"/>
        <w:snapToGrid w:val="0"/>
        <w:spacing w:before="0" w:beforeAutospacing="0" w:after="0" w:afterAutospacing="0" w:line="240" w:lineRule="auto"/>
        <w:ind w:right="-512" w:rightChars="-244"/>
        <w:jc w:val="both"/>
        <w:textAlignment w:val="auto"/>
        <w:rPr>
          <w:rFonts w:hint="eastAsia" w:cs="方正小标宋_GBK" w:asciiTheme="majorEastAsia" w:hAnsiTheme="majorEastAsia" w:eastAsiaTheme="majorEastAsia"/>
          <w:kern w:val="2"/>
          <w:sz w:val="44"/>
          <w:szCs w:val="44"/>
        </w:rPr>
      </w:pPr>
    </w:p>
    <w:p>
      <w:pPr>
        <w:pStyle w:val="5"/>
        <w:keepNext w:val="0"/>
        <w:keepLines w:val="0"/>
        <w:pageBreakBefore w:val="0"/>
        <w:widowControl/>
        <w:shd w:val="clear" w:color="auto" w:fill="FFFFFF"/>
        <w:kinsoku/>
        <w:wordWrap/>
        <w:overflowPunct w:val="0"/>
        <w:topLinePunct/>
        <w:autoSpaceDE w:val="0"/>
        <w:autoSpaceDN w:val="0"/>
        <w:bidi w:val="0"/>
        <w:adjustRightInd w:val="0"/>
        <w:snapToGrid w:val="0"/>
        <w:spacing w:before="0" w:beforeAutospacing="0" w:after="0" w:afterAutospacing="0" w:line="240" w:lineRule="auto"/>
        <w:ind w:right="-512" w:rightChars="-244"/>
        <w:jc w:val="center"/>
        <w:textAlignment w:val="auto"/>
        <w:rPr>
          <w:rFonts w:hint="eastAsia" w:cs="方正小标宋_GBK" w:asciiTheme="majorEastAsia" w:hAnsiTheme="majorEastAsia" w:eastAsiaTheme="majorEastAsia"/>
          <w:kern w:val="2"/>
          <w:sz w:val="44"/>
          <w:szCs w:val="44"/>
        </w:rPr>
      </w:pPr>
      <w:r>
        <w:rPr>
          <w:rFonts w:hint="eastAsia" w:cs="方正小标宋_GBK" w:asciiTheme="majorEastAsia" w:hAnsiTheme="majorEastAsia" w:eastAsiaTheme="majorEastAsia"/>
          <w:kern w:val="2"/>
          <w:sz w:val="44"/>
          <w:szCs w:val="44"/>
        </w:rPr>
        <w:t>山东省人民政府</w:t>
      </w:r>
      <w:r>
        <w:rPr>
          <w:rFonts w:hint="eastAsia" w:cs="方正小标宋_GBK" w:asciiTheme="majorEastAsia" w:hAnsiTheme="majorEastAsia" w:eastAsiaTheme="majorEastAsia"/>
          <w:kern w:val="2"/>
          <w:sz w:val="44"/>
          <w:szCs w:val="44"/>
        </w:rPr>
        <w:br w:type="textWrapping"/>
      </w:r>
      <w:r>
        <w:rPr>
          <w:rFonts w:hint="eastAsia" w:cs="方正小标宋_GBK" w:asciiTheme="majorEastAsia" w:hAnsiTheme="majorEastAsia" w:eastAsiaTheme="majorEastAsia"/>
          <w:kern w:val="2"/>
          <w:sz w:val="44"/>
          <w:szCs w:val="44"/>
        </w:rPr>
        <w:t>关于将部分省级行政权力事项</w:t>
      </w:r>
      <w:r>
        <w:rPr>
          <w:rFonts w:hint="eastAsia" w:cs="方正小标宋_GBK" w:asciiTheme="majorEastAsia" w:hAnsiTheme="majorEastAsia" w:eastAsiaTheme="majorEastAsia"/>
          <w:kern w:val="2"/>
          <w:sz w:val="44"/>
          <w:szCs w:val="44"/>
        </w:rPr>
        <w:br w:type="textWrapping"/>
      </w:r>
      <w:r>
        <w:rPr>
          <w:rFonts w:hint="eastAsia" w:cs="方正小标宋_GBK" w:asciiTheme="majorEastAsia" w:hAnsiTheme="majorEastAsia" w:eastAsiaTheme="majorEastAsia"/>
          <w:kern w:val="2"/>
          <w:sz w:val="44"/>
          <w:szCs w:val="44"/>
        </w:rPr>
        <w:t>调整由济南、青岛、烟台市实施的决定</w:t>
      </w:r>
    </w:p>
    <w:p>
      <w:pPr>
        <w:spacing w:line="360" w:lineRule="auto"/>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sz w:val="32"/>
          <w:szCs w:val="32"/>
        </w:rPr>
        <w:t>（2018年8月6日</w:t>
      </w:r>
      <w:r>
        <w:rPr>
          <w:rFonts w:hint="eastAsia" w:ascii="楷体_GB2312" w:hAnsi="楷体_GB2312" w:eastAsia="楷体_GB2312" w:cs="楷体_GB2312"/>
          <w:kern w:val="0"/>
          <w:sz w:val="32"/>
          <w:szCs w:val="32"/>
        </w:rPr>
        <w:t>山东省人民政府令第320号公布  自2018年8月6日起施行）</w:t>
      </w:r>
    </w:p>
    <w:p>
      <w:pPr>
        <w:spacing w:line="360" w:lineRule="auto"/>
        <w:ind w:firstLine="640" w:firstLineChars="200"/>
        <w:jc w:val="left"/>
        <w:rPr>
          <w:rFonts w:hint="eastAsia" w:ascii="楷体_GB2312" w:hAnsi="楷体_GB2312" w:eastAsia="楷体_GB2312" w:cs="楷体_GB2312"/>
          <w:kern w:val="0"/>
          <w:sz w:val="32"/>
          <w:szCs w:val="32"/>
        </w:rPr>
      </w:pPr>
    </w:p>
    <w:p>
      <w:pPr>
        <w:pStyle w:val="5"/>
        <w:shd w:val="clear" w:color="auto" w:fill="FFFFFF"/>
        <w:overflowPunct w:val="0"/>
        <w:topLinePunct/>
        <w:autoSpaceDE w:val="0"/>
        <w:autoSpaceDN w:val="0"/>
        <w:adjustRightInd w:val="0"/>
        <w:snapToGrid w:val="0"/>
        <w:spacing w:before="0" w:beforeAutospacing="0" w:after="0" w:afterAutospacing="0" w:line="360" w:lineRule="auto"/>
        <w:ind w:right="-512" w:rightChars="-244"/>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kern w:val="2"/>
          <w:sz w:val="32"/>
          <w:szCs w:val="32"/>
        </w:rPr>
        <w:t>为了深化简政放权，促进区域经济高质量发展，充分发挥济南、青岛、烟台3市在新旧动能转换中的引领作用，依据《中华人民共和国行政许可法》等法律、法规，决定将70项省级行政权力事项调整由济南、青岛、烟台市实施。</w:t>
      </w:r>
    </w:p>
    <w:p>
      <w:pPr>
        <w:pStyle w:val="5"/>
        <w:shd w:val="clear" w:color="auto" w:fill="FFFFFF"/>
        <w:overflowPunct w:val="0"/>
        <w:topLinePunct/>
        <w:autoSpaceDE w:val="0"/>
        <w:autoSpaceDN w:val="0"/>
        <w:adjustRightInd w:val="0"/>
        <w:snapToGrid w:val="0"/>
        <w:spacing w:before="0" w:beforeAutospacing="0" w:after="0" w:afterAutospacing="0" w:line="360" w:lineRule="auto"/>
        <w:ind w:right="-512" w:rightChars="-244"/>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　　省人民政府有关部门、单位和济南、青岛、烟台市人民政府</w:t>
      </w:r>
      <w:r>
        <w:rPr>
          <w:rFonts w:hint="eastAsia" w:ascii="仿宋_GB2312" w:hAnsi="仿宋_GB2312" w:eastAsia="仿宋_GB2312" w:cs="仿宋_GB2312"/>
          <w:sz w:val="32"/>
          <w:szCs w:val="32"/>
          <w:shd w:val="clear" w:color="auto" w:fill="FFFFFF"/>
        </w:rPr>
        <w:t>应当认真组织实施，制定具体衔接方案，在本决定公布之日起30日内完成相关交接工作；完善事项调整后的办理程序，落实经费保障、技术支撑、指导培训等措施，充分利用全省统一的政务服务平台，推行网上办理。在调整事项承接到位前，省人民政府有关部门、单位应当继续做好受理、审核等工作，避免工作脱节。济南、青岛、烟台市人民政府有关部门、单位实施相关行政权力事项需要使用国家统一信息系统或者与中央部门进行业务对接，以及需要征求省人民政府其他部门、单位意见的，省人民政府有关部门、单位应当做好沟通衔接，避免因事项调整影响相关行政权力事项实施。</w:t>
      </w:r>
    </w:p>
    <w:p>
      <w:pPr>
        <w:pStyle w:val="5"/>
        <w:shd w:val="clear" w:color="auto" w:fill="FFFFFF"/>
        <w:overflowPunct w:val="0"/>
        <w:topLinePunct/>
        <w:autoSpaceDE w:val="0"/>
        <w:autoSpaceDN w:val="0"/>
        <w:adjustRightInd w:val="0"/>
        <w:snapToGrid w:val="0"/>
        <w:spacing w:before="0" w:beforeAutospacing="0" w:after="0" w:afterAutospacing="0" w:line="360" w:lineRule="auto"/>
        <w:ind w:right="-512" w:rightChars="-244"/>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济南、青岛、烟台市人民政府应当加强组织领导，根据本决定及时调整本级行政权力清单，严格对调整事项承接部门、单位的监督管理，确保相关责任落实到位，发现问题及时予以纠正。调整事项承接部门、单位应当依法履行对相关事项的监督管理职责，创新监管方式，强化日常监管，推进“双随机、一公开”监管，尽快完善以信用承诺、信息公示为特点的新型监管机制，提高监管效率。省人民政府有关部门、单位应当加强指导和监督，对委托实施的省级行政权力事项，将受委托行政机关及其实施行政权力的内容予以公告，监督受委托行政机关实施行政权力的行为，并对该行为的后果承担法律责任；对直接下放的省级行政权力事项，采取随机抽查、专项评估、满意度调查等多种方式进行监督管理，发现问题及时予以纠正。</w:t>
      </w:r>
    </w:p>
    <w:p>
      <w:pPr>
        <w:pStyle w:val="5"/>
        <w:shd w:val="clear" w:color="auto" w:fill="FFFFFF"/>
        <w:overflowPunct w:val="0"/>
        <w:topLinePunct/>
        <w:autoSpaceDE w:val="0"/>
        <w:autoSpaceDN w:val="0"/>
        <w:adjustRightInd w:val="0"/>
        <w:snapToGrid w:val="0"/>
        <w:spacing w:before="0" w:beforeAutospacing="0" w:after="0" w:afterAutospacing="0" w:line="360" w:lineRule="auto"/>
        <w:ind w:right="-512" w:rightChars="-244"/>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本决定自公布之日起实施。</w:t>
      </w:r>
    </w:p>
    <w:p>
      <w:pPr>
        <w:pStyle w:val="5"/>
        <w:shd w:val="clear" w:color="auto" w:fill="FFFFFF"/>
        <w:overflowPunct w:val="0"/>
        <w:topLinePunct/>
        <w:autoSpaceDE w:val="0"/>
        <w:autoSpaceDN w:val="0"/>
        <w:adjustRightInd w:val="0"/>
        <w:snapToGrid w:val="0"/>
        <w:spacing w:before="0" w:beforeAutospacing="0" w:after="0" w:afterAutospacing="0" w:line="360" w:lineRule="auto"/>
        <w:ind w:right="-512" w:rightChars="-244"/>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w:t>
      </w:r>
    </w:p>
    <w:p>
      <w:pPr>
        <w:pStyle w:val="5"/>
        <w:shd w:val="clear" w:color="auto" w:fill="FFFFFF"/>
        <w:overflowPunct w:val="0"/>
        <w:topLinePunct/>
        <w:autoSpaceDE w:val="0"/>
        <w:autoSpaceDN w:val="0"/>
        <w:adjustRightInd w:val="0"/>
        <w:snapToGrid w:val="0"/>
        <w:spacing w:before="0" w:beforeAutospacing="0" w:after="0" w:afterAutospacing="0" w:line="360" w:lineRule="auto"/>
        <w:ind w:right="-512" w:rightChars="-244"/>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　</w:t>
      </w:r>
      <w:r>
        <w:rPr>
          <w:rFonts w:hint="eastAsia" w:ascii="黑体" w:hAnsi="黑体" w:eastAsia="黑体" w:cs="黑体"/>
          <w:sz w:val="32"/>
          <w:szCs w:val="32"/>
          <w:shd w:val="clear" w:color="auto" w:fill="FFFFFF"/>
        </w:rPr>
        <w:t>附件：</w:t>
      </w:r>
      <w:r>
        <w:rPr>
          <w:rFonts w:hint="eastAsia" w:ascii="仿宋_GB2312" w:hAnsi="仿宋_GB2312" w:eastAsia="仿宋_GB2312" w:cs="仿宋_GB2312"/>
          <w:sz w:val="32"/>
          <w:szCs w:val="32"/>
          <w:shd w:val="clear" w:color="auto" w:fill="FFFFFF"/>
        </w:rPr>
        <w:t>调整由济南、青岛、烟台市实施的省级行政权力事项</w:t>
      </w:r>
    </w:p>
    <w:p>
      <w:pPr>
        <w:overflowPunct w:val="0"/>
        <w:topLinePunct/>
        <w:autoSpaceDE w:val="0"/>
        <w:autoSpaceDN w:val="0"/>
        <w:adjustRightInd w:val="0"/>
        <w:snapToGrid w:val="0"/>
        <w:spacing w:line="360" w:lineRule="auto"/>
        <w:rPr>
          <w:rFonts w:hint="eastAsia" w:ascii="微软雅黑" w:hAnsi="微软雅黑" w:eastAsia="微软雅黑" w:cs="微软雅黑"/>
          <w:color w:val="333333"/>
          <w:sz w:val="19"/>
          <w:szCs w:val="19"/>
        </w:rPr>
      </w:pPr>
      <w:r>
        <w:rPr>
          <w:rFonts w:hint="eastAsia" w:ascii="仿宋" w:hAnsi="仿宋" w:eastAsia="仿宋" w:cs="微软雅黑"/>
          <w:color w:val="0088CC"/>
          <w:sz w:val="19"/>
          <w:szCs w:val="19"/>
          <w:shd w:val="clear" w:color="auto" w:fill="FFFFFF"/>
        </w:rPr>
        <w:br w:type="page"/>
      </w:r>
      <w:r>
        <w:rPr>
          <w:rFonts w:hint="eastAsia" w:ascii="黑体" w:hAnsi="黑体" w:eastAsia="黑体" w:cs="黑体"/>
          <w:b/>
          <w:sz w:val="32"/>
          <w:szCs w:val="32"/>
        </w:rPr>
        <w:t>附  件</w:t>
      </w:r>
    </w:p>
    <w:p>
      <w:pPr>
        <w:spacing w:before="624" w:beforeLines="200" w:after="312" w:afterLines="100" w:line="360" w:lineRule="auto"/>
        <w:jc w:val="center"/>
        <w:rPr>
          <w:rFonts w:hint="eastAsia" w:cs="方正小标宋_GBK" w:asciiTheme="majorEastAsia" w:hAnsiTheme="majorEastAsia" w:eastAsiaTheme="majorEastAsia"/>
          <w:bCs/>
          <w:sz w:val="44"/>
          <w:szCs w:val="44"/>
        </w:rPr>
      </w:pPr>
      <w:bookmarkStart w:id="0" w:name="_GoBack"/>
      <w:bookmarkEnd w:id="0"/>
      <w:r>
        <w:rPr>
          <w:rFonts w:hint="eastAsia" w:cs="方正小标宋_GBK" w:asciiTheme="majorEastAsia" w:hAnsiTheme="majorEastAsia" w:eastAsiaTheme="majorEastAsia"/>
          <w:bCs/>
          <w:sz w:val="44"/>
          <w:szCs w:val="44"/>
        </w:rPr>
        <w:t>调整由济南、青岛、烟台市实施的</w:t>
      </w:r>
    </w:p>
    <w:p>
      <w:pPr>
        <w:spacing w:before="312" w:beforeLines="100" w:after="624" w:afterLines="200" w:line="360" w:lineRule="auto"/>
        <w:jc w:val="center"/>
        <w:rPr>
          <w:rFonts w:hint="eastAsia" w:cs="方正小标宋_GBK" w:asciiTheme="majorEastAsia" w:hAnsiTheme="majorEastAsia" w:eastAsiaTheme="majorEastAsia"/>
          <w:bCs/>
          <w:sz w:val="44"/>
          <w:szCs w:val="44"/>
        </w:rPr>
      </w:pPr>
      <w:r>
        <w:rPr>
          <w:rFonts w:hint="eastAsia" w:cs="方正小标宋_GBK" w:asciiTheme="majorEastAsia" w:hAnsiTheme="majorEastAsia" w:eastAsiaTheme="majorEastAsia"/>
          <w:bCs/>
          <w:sz w:val="44"/>
          <w:szCs w:val="44"/>
        </w:rPr>
        <w:t>省级行政权力事项</w:t>
      </w:r>
    </w:p>
    <w:tbl>
      <w:tblPr>
        <w:tblStyle w:val="6"/>
        <w:tblW w:w="0" w:type="auto"/>
        <w:jc w:val="center"/>
        <w:tblLayout w:type="fixed"/>
        <w:tblCellMar>
          <w:top w:w="0" w:type="dxa"/>
          <w:left w:w="108" w:type="dxa"/>
          <w:bottom w:w="0" w:type="dxa"/>
          <w:right w:w="108" w:type="dxa"/>
        </w:tblCellMar>
      </w:tblPr>
      <w:tblGrid>
        <w:gridCol w:w="745"/>
        <w:gridCol w:w="1483"/>
        <w:gridCol w:w="3190"/>
        <w:gridCol w:w="3698"/>
      </w:tblGrid>
      <w:tr>
        <w:tblPrEx>
          <w:tblCellMar>
            <w:top w:w="0" w:type="dxa"/>
            <w:left w:w="108" w:type="dxa"/>
            <w:bottom w:w="0" w:type="dxa"/>
            <w:right w:w="108" w:type="dxa"/>
          </w:tblCellMar>
        </w:tblPrEx>
        <w:trPr>
          <w:trHeight w:val="799" w:hRule="atLeast"/>
          <w:jc w:val="center"/>
        </w:trPr>
        <w:tc>
          <w:tcPr>
            <w:tcW w:w="745" w:type="dxa"/>
            <w:tcBorders>
              <w:top w:val="single" w:color="auto" w:sz="4" w:space="0"/>
              <w:left w:val="single" w:color="auto" w:sz="4" w:space="0"/>
              <w:bottom w:val="nil"/>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序号</w:t>
            </w:r>
          </w:p>
        </w:tc>
        <w:tc>
          <w:tcPr>
            <w:tcW w:w="1483" w:type="dxa"/>
            <w:tcBorders>
              <w:top w:val="single" w:color="auto" w:sz="4" w:space="0"/>
              <w:left w:val="nil"/>
              <w:bottom w:val="nil"/>
              <w:right w:val="single" w:color="auto" w:sz="4" w:space="0"/>
            </w:tcBorders>
            <w:vAlign w:val="center"/>
          </w:tcPr>
          <w:p>
            <w:pPr>
              <w:widowControl/>
              <w:spacing w:line="360" w:lineRule="auto"/>
              <w:jc w:val="center"/>
              <w:rPr>
                <w:rFonts w:hint="eastAsia" w:ascii="黑体" w:hAnsi="黑体" w:eastAsia="黑体" w:cs="黑体"/>
                <w:kern w:val="0"/>
              </w:rPr>
            </w:pPr>
            <w:r>
              <w:rPr>
                <w:rFonts w:hint="eastAsia" w:ascii="黑体" w:hAnsi="黑体" w:eastAsia="黑体" w:cs="黑体"/>
                <w:kern w:val="0"/>
              </w:rPr>
              <w:t>部门</w:t>
            </w:r>
          </w:p>
        </w:tc>
        <w:tc>
          <w:tcPr>
            <w:tcW w:w="3190" w:type="dxa"/>
            <w:tcBorders>
              <w:top w:val="single" w:color="auto" w:sz="4" w:space="0"/>
              <w:left w:val="nil"/>
              <w:bottom w:val="nil"/>
              <w:right w:val="single" w:color="auto" w:sz="4" w:space="0"/>
            </w:tcBorders>
            <w:vAlign w:val="center"/>
          </w:tcPr>
          <w:p>
            <w:pPr>
              <w:widowControl/>
              <w:spacing w:line="360" w:lineRule="auto"/>
              <w:jc w:val="center"/>
              <w:rPr>
                <w:rFonts w:hint="eastAsia" w:ascii="黑体" w:hAnsi="黑体" w:eastAsia="黑体" w:cs="黑体"/>
                <w:kern w:val="0"/>
              </w:rPr>
            </w:pPr>
            <w:r>
              <w:rPr>
                <w:rFonts w:hint="eastAsia" w:ascii="黑体" w:hAnsi="黑体" w:eastAsia="黑体" w:cs="黑体"/>
                <w:kern w:val="0"/>
              </w:rPr>
              <w:t>事项名称</w:t>
            </w:r>
          </w:p>
        </w:tc>
        <w:tc>
          <w:tcPr>
            <w:tcW w:w="3698" w:type="dxa"/>
            <w:tcBorders>
              <w:top w:val="single" w:color="auto" w:sz="4" w:space="0"/>
              <w:left w:val="nil"/>
              <w:bottom w:val="nil"/>
              <w:right w:val="single" w:color="auto" w:sz="4" w:space="0"/>
            </w:tcBorders>
            <w:vAlign w:val="center"/>
          </w:tcPr>
          <w:p>
            <w:pPr>
              <w:widowControl/>
              <w:spacing w:line="360" w:lineRule="auto"/>
              <w:jc w:val="center"/>
              <w:rPr>
                <w:rFonts w:hint="eastAsia" w:ascii="黑体" w:hAnsi="黑体" w:eastAsia="黑体" w:cs="黑体"/>
                <w:kern w:val="0"/>
              </w:rPr>
            </w:pPr>
            <w:r>
              <w:rPr>
                <w:rFonts w:hint="eastAsia" w:ascii="黑体" w:hAnsi="黑体" w:eastAsia="黑体" w:cs="黑体"/>
                <w:kern w:val="0"/>
              </w:rPr>
              <w:t>调整内容</w:t>
            </w:r>
          </w:p>
        </w:tc>
      </w:tr>
      <w:tr>
        <w:tblPrEx>
          <w:tblCellMar>
            <w:top w:w="0" w:type="dxa"/>
            <w:left w:w="108" w:type="dxa"/>
            <w:bottom w:w="0" w:type="dxa"/>
            <w:right w:w="108" w:type="dxa"/>
          </w:tblCellMar>
        </w:tblPrEx>
        <w:trPr>
          <w:trHeight w:val="1433"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1</w:t>
            </w:r>
          </w:p>
        </w:tc>
        <w:tc>
          <w:tcPr>
            <w:tcW w:w="14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省发展改革委</w:t>
            </w:r>
          </w:p>
        </w:tc>
        <w:tc>
          <w:tcPr>
            <w:tcW w:w="319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投资摩托车及其发动机、投资生产汽车、农用运输车、摩托车的零部件项目备案</w:t>
            </w:r>
          </w:p>
        </w:tc>
        <w:tc>
          <w:tcPr>
            <w:tcW w:w="369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委托济南、青岛、烟台市人民政府投资主管部门实施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2</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省教育厅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民办非学历高等教育机构筹设、设立、分立、合并、变更、终止审批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委托济南、青岛、烟台市人民政府教育主管部门实施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3</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省科技厅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技术合同认定登记</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委托济南、烟台市人民政府科技主管部门及济南高新技术产业开发区管理委员会实施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4</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省公安厅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因私出入境中介机构资格认定</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委托济南、青岛、烟台市人民政府公安机关实施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5</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省人力资源社会保障厅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外地调入人员高级专业技术职务资格确认</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委托济南、青岛、烟台市人民政府人力资源社会保障部门实施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6</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省国土资源厅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探矿权延续登记</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委托济南、青岛、烟台市人民政府国土资源主管部门实施</w:t>
            </w:r>
          </w:p>
        </w:tc>
      </w:tr>
      <w:tr>
        <w:tblPrEx>
          <w:tblCellMar>
            <w:top w:w="0" w:type="dxa"/>
            <w:left w:w="108" w:type="dxa"/>
            <w:bottom w:w="0" w:type="dxa"/>
            <w:right w:w="108" w:type="dxa"/>
          </w:tblCellMar>
        </w:tblPrEx>
        <w:trPr>
          <w:trHeight w:val="1405"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7</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省国土资源厅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探矿权保留登记</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委托济南、青岛、烟台市人民政府国土资源主管部门实施</w:t>
            </w:r>
          </w:p>
        </w:tc>
      </w:tr>
      <w:tr>
        <w:tblPrEx>
          <w:tblCellMar>
            <w:top w:w="0" w:type="dxa"/>
            <w:left w:w="108" w:type="dxa"/>
            <w:bottom w:w="0" w:type="dxa"/>
            <w:right w:w="108" w:type="dxa"/>
          </w:tblCellMar>
        </w:tblPrEx>
        <w:trPr>
          <w:trHeight w:val="799" w:hRule="atLeast"/>
          <w:jc w:val="center"/>
        </w:trPr>
        <w:tc>
          <w:tcPr>
            <w:tcW w:w="745" w:type="dxa"/>
            <w:tcBorders>
              <w:top w:val="single" w:color="auto" w:sz="4" w:space="0"/>
              <w:left w:val="single" w:color="auto" w:sz="4" w:space="0"/>
              <w:bottom w:val="nil"/>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序号</w:t>
            </w:r>
          </w:p>
        </w:tc>
        <w:tc>
          <w:tcPr>
            <w:tcW w:w="1483" w:type="dxa"/>
            <w:tcBorders>
              <w:top w:val="single" w:color="auto" w:sz="4" w:space="0"/>
              <w:left w:val="nil"/>
              <w:bottom w:val="nil"/>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部门</w:t>
            </w:r>
          </w:p>
        </w:tc>
        <w:tc>
          <w:tcPr>
            <w:tcW w:w="3190" w:type="dxa"/>
            <w:tcBorders>
              <w:top w:val="single" w:color="auto" w:sz="4" w:space="0"/>
              <w:left w:val="nil"/>
              <w:bottom w:val="nil"/>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事项名称</w:t>
            </w:r>
          </w:p>
        </w:tc>
        <w:tc>
          <w:tcPr>
            <w:tcW w:w="3698" w:type="dxa"/>
            <w:tcBorders>
              <w:top w:val="single" w:color="auto" w:sz="4" w:space="0"/>
              <w:left w:val="nil"/>
              <w:bottom w:val="nil"/>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调整内容</w:t>
            </w:r>
          </w:p>
        </w:tc>
      </w:tr>
      <w:tr>
        <w:tblPrEx>
          <w:tblCellMar>
            <w:top w:w="0" w:type="dxa"/>
            <w:left w:w="108" w:type="dxa"/>
            <w:bottom w:w="0" w:type="dxa"/>
            <w:right w:w="108" w:type="dxa"/>
          </w:tblCellMar>
        </w:tblPrEx>
        <w:trPr>
          <w:trHeight w:val="1253"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8</w:t>
            </w:r>
          </w:p>
        </w:tc>
        <w:tc>
          <w:tcPr>
            <w:tcW w:w="14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省国土资源厅</w:t>
            </w:r>
          </w:p>
        </w:tc>
        <w:tc>
          <w:tcPr>
            <w:tcW w:w="319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探矿权变更登记</w:t>
            </w:r>
          </w:p>
        </w:tc>
        <w:tc>
          <w:tcPr>
            <w:tcW w:w="369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委托济南、青岛、烟台市人民政府国土资源主管部门实施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9</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省国土资源厅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探矿权注销登记</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委托济南、青岛、烟台市人民政府国土资源主管部门实施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10</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省国土资源厅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探矿权转让审批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委托济南、青岛、烟台市人民政府国土资源主管部门实施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11</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省国土资源厅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丁级测绘资质审批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委托济南、青岛、烟台市人民政府国土资源主管部门实施</w:t>
            </w:r>
          </w:p>
        </w:tc>
      </w:tr>
      <w:tr>
        <w:tblPrEx>
          <w:tblCellMar>
            <w:top w:w="0" w:type="dxa"/>
            <w:left w:w="108" w:type="dxa"/>
            <w:bottom w:w="0" w:type="dxa"/>
            <w:right w:w="108" w:type="dxa"/>
          </w:tblCellMar>
        </w:tblPrEx>
        <w:trPr>
          <w:trHeight w:val="1625"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12</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省国土资源厅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丁级测绘资质信息变更审批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委托济南、青岛、烟台市人民政府国土资源主管部门实施</w:t>
            </w:r>
          </w:p>
        </w:tc>
      </w:tr>
      <w:tr>
        <w:tblPrEx>
          <w:tblCellMar>
            <w:top w:w="0" w:type="dxa"/>
            <w:left w:w="108" w:type="dxa"/>
            <w:bottom w:w="0" w:type="dxa"/>
            <w:right w:w="108" w:type="dxa"/>
          </w:tblCellMar>
        </w:tblPrEx>
        <w:trPr>
          <w:trHeight w:val="183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13</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省国土资源厅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探矿权人变更勘查单位备案</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委托济南、青岛、烟台市人民政府国土资源主管部门实施</w:t>
            </w:r>
          </w:p>
        </w:tc>
      </w:tr>
      <w:tr>
        <w:tblPrEx>
          <w:tblCellMar>
            <w:top w:w="0" w:type="dxa"/>
            <w:left w:w="108" w:type="dxa"/>
            <w:bottom w:w="0" w:type="dxa"/>
            <w:right w:w="108" w:type="dxa"/>
          </w:tblCellMar>
        </w:tblPrEx>
        <w:trPr>
          <w:trHeight w:val="1682"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14</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 xml:space="preserve">省住房城乡建设厅   </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工程监理企业资质审批(乙级)</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委托济南、青岛、烟台市人民政府住房城乡建设主管部门实施</w:t>
            </w:r>
          </w:p>
        </w:tc>
      </w:tr>
      <w:tr>
        <w:tblPrEx>
          <w:tblCellMar>
            <w:top w:w="0" w:type="dxa"/>
            <w:left w:w="108" w:type="dxa"/>
            <w:bottom w:w="0" w:type="dxa"/>
            <w:right w:w="108" w:type="dxa"/>
          </w:tblCellMar>
        </w:tblPrEx>
        <w:trPr>
          <w:trHeight w:val="1063"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15</w:t>
            </w:r>
          </w:p>
        </w:tc>
        <w:tc>
          <w:tcPr>
            <w:tcW w:w="14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 xml:space="preserve">省住房城乡建设厅   </w:t>
            </w:r>
          </w:p>
        </w:tc>
        <w:tc>
          <w:tcPr>
            <w:tcW w:w="319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工程监理企业资质审批(丙级)</w:t>
            </w:r>
          </w:p>
        </w:tc>
        <w:tc>
          <w:tcPr>
            <w:tcW w:w="369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委托济南、青岛、烟台市人民政府住房城乡建设主管部门实施</w:t>
            </w:r>
          </w:p>
        </w:tc>
      </w:tr>
      <w:tr>
        <w:tblPrEx>
          <w:tblCellMar>
            <w:top w:w="0" w:type="dxa"/>
            <w:left w:w="108" w:type="dxa"/>
            <w:bottom w:w="0" w:type="dxa"/>
            <w:right w:w="108" w:type="dxa"/>
          </w:tblCellMar>
        </w:tblPrEx>
        <w:trPr>
          <w:trHeight w:val="1681"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16</w:t>
            </w:r>
          </w:p>
        </w:tc>
        <w:tc>
          <w:tcPr>
            <w:tcW w:w="14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 xml:space="preserve">省住房城乡建设厅   </w:t>
            </w:r>
          </w:p>
        </w:tc>
        <w:tc>
          <w:tcPr>
            <w:tcW w:w="319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工程监理企业资质审批(事务所)</w:t>
            </w:r>
          </w:p>
        </w:tc>
        <w:tc>
          <w:tcPr>
            <w:tcW w:w="369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委托济南、青岛、烟台市人民政府住房城乡建设主管部门实施</w:t>
            </w:r>
          </w:p>
        </w:tc>
      </w:tr>
      <w:tr>
        <w:tblPrEx>
          <w:tblCellMar>
            <w:top w:w="0" w:type="dxa"/>
            <w:left w:w="108" w:type="dxa"/>
            <w:bottom w:w="0" w:type="dxa"/>
            <w:right w:w="108" w:type="dxa"/>
          </w:tblCellMar>
        </w:tblPrEx>
        <w:trPr>
          <w:trHeight w:val="862"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序号</w:t>
            </w:r>
          </w:p>
        </w:tc>
        <w:tc>
          <w:tcPr>
            <w:tcW w:w="14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部门</w:t>
            </w:r>
          </w:p>
        </w:tc>
        <w:tc>
          <w:tcPr>
            <w:tcW w:w="31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事项名称</w:t>
            </w:r>
          </w:p>
        </w:tc>
        <w:tc>
          <w:tcPr>
            <w:tcW w:w="369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调整内容</w:t>
            </w:r>
          </w:p>
        </w:tc>
      </w:tr>
      <w:tr>
        <w:tblPrEx>
          <w:tblCellMar>
            <w:top w:w="0" w:type="dxa"/>
            <w:left w:w="108" w:type="dxa"/>
            <w:bottom w:w="0" w:type="dxa"/>
            <w:right w:w="108" w:type="dxa"/>
          </w:tblCellMar>
        </w:tblPrEx>
        <w:trPr>
          <w:trHeight w:val="1571"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17</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 xml:space="preserve">省住房城乡建设厅   </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施工图设计文件审查机构资质认定</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委托济南、青岛、烟台市人民政府住房城乡建设主管部门实施</w:t>
            </w:r>
          </w:p>
        </w:tc>
      </w:tr>
      <w:tr>
        <w:tblPrEx>
          <w:tblCellMar>
            <w:top w:w="0" w:type="dxa"/>
            <w:left w:w="108" w:type="dxa"/>
            <w:bottom w:w="0" w:type="dxa"/>
            <w:right w:w="108" w:type="dxa"/>
          </w:tblCellMar>
        </w:tblPrEx>
        <w:trPr>
          <w:trHeight w:val="1841"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18</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 xml:space="preserve">省住房城乡建设厅   </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工程勘察、设计（涉及铁路、交通、水利、信息产业、民航等方面的工程设计乙级资质除外）单位资质审批(乙级)</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委托济南、青岛、烟台市人民政府住房城乡建设主管部门实施</w:t>
            </w:r>
          </w:p>
        </w:tc>
      </w:tr>
      <w:tr>
        <w:tblPrEx>
          <w:tblCellMar>
            <w:top w:w="0" w:type="dxa"/>
            <w:left w:w="108" w:type="dxa"/>
            <w:bottom w:w="0" w:type="dxa"/>
            <w:right w:w="108" w:type="dxa"/>
          </w:tblCellMar>
        </w:tblPrEx>
        <w:trPr>
          <w:trHeight w:val="2241"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19</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 xml:space="preserve">省住房城乡建设厅   </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工程勘察、设计（涉及铁路、交通、水利、信息产业、民航等方面的工程设计乙级资质除外）单位资质审批（丙级）</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委托济南、青岛、烟台市人民政府住房城乡建设主管部门实施</w:t>
            </w:r>
          </w:p>
        </w:tc>
      </w:tr>
      <w:tr>
        <w:tblPrEx>
          <w:tblCellMar>
            <w:top w:w="0" w:type="dxa"/>
            <w:left w:w="108" w:type="dxa"/>
            <w:bottom w:w="0" w:type="dxa"/>
            <w:right w:w="108" w:type="dxa"/>
          </w:tblCellMar>
        </w:tblPrEx>
        <w:trPr>
          <w:trHeight w:val="1298"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20</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 xml:space="preserve">省住房城乡建设厅   </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乙级工程造价咨询企业资质审批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委托济南、青岛、烟台市人民政府住房城乡建设主管部门实施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21</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 xml:space="preserve">省住房城乡建设厅   </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建筑施工企业安全生产许可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委托济南、青岛、烟台市人民政府住房城乡建设主管部门实施</w:t>
            </w:r>
          </w:p>
        </w:tc>
      </w:tr>
      <w:tr>
        <w:tblPrEx>
          <w:tblCellMar>
            <w:top w:w="0" w:type="dxa"/>
            <w:left w:w="108" w:type="dxa"/>
            <w:bottom w:w="0" w:type="dxa"/>
            <w:right w:w="108" w:type="dxa"/>
          </w:tblCellMar>
        </w:tblPrEx>
        <w:trPr>
          <w:trHeight w:val="1544"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22</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 xml:space="preserve">省住房城乡建设厅   </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建筑施工特种作业人员操作资格认定</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委托济南、青岛、烟台市人民政府住房城乡建设主管部门实施</w:t>
            </w:r>
          </w:p>
        </w:tc>
      </w:tr>
      <w:tr>
        <w:tblPrEx>
          <w:tblCellMar>
            <w:top w:w="0" w:type="dxa"/>
            <w:left w:w="108" w:type="dxa"/>
            <w:bottom w:w="0" w:type="dxa"/>
            <w:right w:w="108" w:type="dxa"/>
          </w:tblCellMar>
        </w:tblPrEx>
        <w:trPr>
          <w:trHeight w:val="146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23</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 xml:space="preserve">省住房城乡建设厅   </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建设工程质量检测机构资质许可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hint="eastAsia" w:ascii="宋体" w:hAnsi="宋体" w:eastAsia="仿宋"/>
                <w:kern w:val="0"/>
              </w:rPr>
            </w:pPr>
          </w:p>
          <w:p>
            <w:pPr>
              <w:widowControl/>
              <w:spacing w:line="360" w:lineRule="auto"/>
              <w:jc w:val="left"/>
              <w:rPr>
                <w:rFonts w:hint="eastAsia" w:ascii="宋体" w:hAnsi="宋体" w:eastAsia="仿宋"/>
                <w:kern w:val="0"/>
              </w:rPr>
            </w:pPr>
            <w:r>
              <w:rPr>
                <w:rFonts w:hint="eastAsia" w:ascii="宋体" w:hAnsi="宋体" w:eastAsia="仿宋"/>
                <w:kern w:val="0"/>
              </w:rPr>
              <w:t>委托济南、青岛、烟台市人民政府住房城乡建设主管部门实施</w:t>
            </w:r>
          </w:p>
          <w:p>
            <w:pPr>
              <w:widowControl/>
              <w:spacing w:line="360" w:lineRule="auto"/>
              <w:jc w:val="left"/>
              <w:rPr>
                <w:rFonts w:ascii="宋体" w:hAnsi="宋体" w:eastAsia="仿宋"/>
                <w:kern w:val="0"/>
              </w:rPr>
            </w:pP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24</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 xml:space="preserve">省住房城乡建设厅   </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二级注册建造师审批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委托济南、青岛、烟台市人民政府住房城乡建设主管部门实施</w:t>
            </w:r>
          </w:p>
        </w:tc>
      </w:tr>
      <w:tr>
        <w:tblPrEx>
          <w:tblCellMar>
            <w:top w:w="0" w:type="dxa"/>
            <w:left w:w="108" w:type="dxa"/>
            <w:bottom w:w="0" w:type="dxa"/>
            <w:right w:w="108" w:type="dxa"/>
          </w:tblCellMar>
        </w:tblPrEx>
        <w:trPr>
          <w:trHeight w:val="799"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序号</w:t>
            </w:r>
          </w:p>
        </w:tc>
        <w:tc>
          <w:tcPr>
            <w:tcW w:w="14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部门</w:t>
            </w:r>
          </w:p>
        </w:tc>
        <w:tc>
          <w:tcPr>
            <w:tcW w:w="31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事项名称</w:t>
            </w:r>
          </w:p>
        </w:tc>
        <w:tc>
          <w:tcPr>
            <w:tcW w:w="369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调整内容</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25</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 xml:space="preserve">省住房城乡建设厅 </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房地产开发企业二级资质审批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下放至济南、青岛、烟台市人民政府住房城乡建设主管部门</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26</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 xml:space="preserve">省住房城乡建设厅 </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建筑业企业资质许可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委托济南、青岛、烟台市人民政府住房城乡建设主管部门实施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27</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省住房城乡建设厅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城乡规划编制单位乙级、丙级资质审批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委托济南、青岛、烟台市人民政府规划主管部门实施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28</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省住房城乡建设厅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国家和省立项的大中型建设项目选址意见书核发</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委托济南、青岛、烟台市人民政府规划主管部门实施。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29</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省住房城乡建设厅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超限高层建筑工程抗震设防审批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委托济南、青岛、烟台市人民政府住房城乡建设主管部门实施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30</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省住房城乡建设厅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二级注册结构工程师审批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委托济南、青岛、烟台市人民政府住房城乡建设主管部门实施</w:t>
            </w:r>
          </w:p>
        </w:tc>
      </w:tr>
      <w:tr>
        <w:tblPrEx>
          <w:tblCellMar>
            <w:top w:w="0" w:type="dxa"/>
            <w:left w:w="108" w:type="dxa"/>
            <w:bottom w:w="0" w:type="dxa"/>
            <w:right w:w="108" w:type="dxa"/>
          </w:tblCellMar>
        </w:tblPrEx>
        <w:trPr>
          <w:trHeight w:val="1956"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31</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省住房城乡建设厅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在国家级风景名胜区内修建缆车、索道等重大建设工程项目选址方案核准</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委托济南、青岛市人民政府住房城乡建设主管部门和烟台市人民政府城市管理部门实施</w:t>
            </w:r>
          </w:p>
        </w:tc>
      </w:tr>
      <w:tr>
        <w:tblPrEx>
          <w:tblCellMar>
            <w:top w:w="0" w:type="dxa"/>
            <w:left w:w="108" w:type="dxa"/>
            <w:bottom w:w="0" w:type="dxa"/>
            <w:right w:w="108" w:type="dxa"/>
          </w:tblCellMar>
        </w:tblPrEx>
        <w:trPr>
          <w:trHeight w:val="1895"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32</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省交通运输厅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除跨设区的市和国省道改线以外的重大涉路工程建设许可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hint="eastAsia" w:ascii="宋体" w:hAnsi="宋体" w:eastAsia="仿宋"/>
                <w:kern w:val="0"/>
              </w:rPr>
            </w:pPr>
          </w:p>
          <w:p>
            <w:pPr>
              <w:widowControl/>
              <w:spacing w:line="360" w:lineRule="auto"/>
              <w:jc w:val="left"/>
              <w:rPr>
                <w:rFonts w:hint="eastAsia" w:ascii="宋体" w:hAnsi="宋体" w:eastAsia="仿宋"/>
                <w:kern w:val="0"/>
              </w:rPr>
            </w:pPr>
            <w:r>
              <w:rPr>
                <w:rFonts w:hint="eastAsia" w:ascii="宋体" w:hAnsi="宋体" w:eastAsia="仿宋"/>
                <w:kern w:val="0"/>
              </w:rPr>
              <w:t>下放至济南、青岛、烟台市人民政府交通运输主管部门</w:t>
            </w:r>
          </w:p>
          <w:p>
            <w:pPr>
              <w:widowControl/>
              <w:spacing w:line="360" w:lineRule="auto"/>
              <w:jc w:val="left"/>
              <w:rPr>
                <w:rFonts w:ascii="宋体" w:hAnsi="宋体" w:eastAsia="仿宋"/>
                <w:kern w:val="0"/>
              </w:rPr>
            </w:pP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33</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省交通运输厅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经营国内船舶管理业务许可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委托青岛、烟台市人民政府港航管理机构实施</w:t>
            </w:r>
          </w:p>
        </w:tc>
      </w:tr>
      <w:tr>
        <w:tblPrEx>
          <w:tblCellMar>
            <w:top w:w="0" w:type="dxa"/>
            <w:left w:w="108" w:type="dxa"/>
            <w:bottom w:w="0" w:type="dxa"/>
            <w:right w:w="108" w:type="dxa"/>
          </w:tblCellMar>
        </w:tblPrEx>
        <w:trPr>
          <w:trHeight w:val="799"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序号</w:t>
            </w:r>
          </w:p>
        </w:tc>
        <w:tc>
          <w:tcPr>
            <w:tcW w:w="14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部门</w:t>
            </w:r>
          </w:p>
        </w:tc>
        <w:tc>
          <w:tcPr>
            <w:tcW w:w="31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事项名称</w:t>
            </w:r>
          </w:p>
        </w:tc>
        <w:tc>
          <w:tcPr>
            <w:tcW w:w="369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调整内容</w:t>
            </w:r>
          </w:p>
        </w:tc>
      </w:tr>
      <w:tr>
        <w:tblPrEx>
          <w:tblCellMar>
            <w:top w:w="0" w:type="dxa"/>
            <w:left w:w="108" w:type="dxa"/>
            <w:bottom w:w="0" w:type="dxa"/>
            <w:right w:w="108" w:type="dxa"/>
          </w:tblCellMar>
        </w:tblPrEx>
        <w:trPr>
          <w:trHeight w:val="1970"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34</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省交通运输厅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外资企业、中外合资经营企业、中外合作经营企业经营山东省境内沿海、江河、湖泊及其他通航水域水路运输审批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委托青岛、烟台市人民政府港航管理机构实施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35</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省交通运输厅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一、二级道路客运站站级核定</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委托济南、青岛、烟台市人民政府交通运输主管部门实施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36</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省交通运输厅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除跨设区的市以外的高速公路工程造价监督</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委托济南、青岛、烟台市人民政府交通运输主管部门实施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37</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省交通运输厅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除跨设区的市以外公路建设项目法人资格审查</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委托济南、青岛、烟台市人民政府交通运输主管部门实施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38</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省交通运输厅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水路运输企业审验</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委托青岛、烟台市人民政府港航管理机构实施</w:t>
            </w:r>
          </w:p>
        </w:tc>
      </w:tr>
      <w:tr>
        <w:tblPrEx>
          <w:tblCellMar>
            <w:top w:w="0" w:type="dxa"/>
            <w:left w:w="108" w:type="dxa"/>
            <w:bottom w:w="0" w:type="dxa"/>
            <w:right w:w="108" w:type="dxa"/>
          </w:tblCellMar>
        </w:tblPrEx>
        <w:trPr>
          <w:trHeight w:val="1384"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39</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省交通运输厅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港口设施保安年度核验</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委托青岛、烟台市人民政府港航管理机构实施</w:t>
            </w:r>
          </w:p>
        </w:tc>
      </w:tr>
      <w:tr>
        <w:tblPrEx>
          <w:tblCellMar>
            <w:top w:w="0" w:type="dxa"/>
            <w:left w:w="108" w:type="dxa"/>
            <w:bottom w:w="0" w:type="dxa"/>
            <w:right w:w="108" w:type="dxa"/>
          </w:tblCellMar>
        </w:tblPrEx>
        <w:trPr>
          <w:trHeight w:val="1147"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40</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省海洋与渔业厅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无居民海岛使用权审核</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委托青岛西海岸新区管理委员会实施</w:t>
            </w:r>
          </w:p>
        </w:tc>
      </w:tr>
      <w:tr>
        <w:tblPrEx>
          <w:tblCellMar>
            <w:top w:w="0" w:type="dxa"/>
            <w:left w:w="108" w:type="dxa"/>
            <w:bottom w:w="0" w:type="dxa"/>
            <w:right w:w="108" w:type="dxa"/>
          </w:tblCellMar>
        </w:tblPrEx>
        <w:trPr>
          <w:trHeight w:val="1634"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41</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省海洋与渔业厅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海域使用金征收</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hint="eastAsia" w:ascii="宋体" w:hAnsi="宋体" w:eastAsia="仿宋"/>
                <w:kern w:val="0"/>
              </w:rPr>
            </w:pPr>
          </w:p>
          <w:p>
            <w:pPr>
              <w:widowControl/>
              <w:spacing w:line="360" w:lineRule="auto"/>
              <w:jc w:val="left"/>
              <w:rPr>
                <w:rFonts w:hint="eastAsia" w:ascii="宋体" w:hAnsi="宋体" w:eastAsia="仿宋"/>
                <w:kern w:val="0"/>
              </w:rPr>
            </w:pPr>
            <w:r>
              <w:rPr>
                <w:rFonts w:hint="eastAsia" w:ascii="宋体" w:hAnsi="宋体" w:eastAsia="仿宋"/>
                <w:kern w:val="0"/>
              </w:rPr>
              <w:t>委托青岛西海岸新区管理委员会实施</w:t>
            </w:r>
          </w:p>
          <w:p>
            <w:pPr>
              <w:widowControl/>
              <w:spacing w:line="360" w:lineRule="auto"/>
              <w:jc w:val="left"/>
              <w:rPr>
                <w:rFonts w:hint="eastAsia" w:ascii="宋体" w:hAnsi="宋体" w:eastAsia="仿宋"/>
                <w:kern w:val="0"/>
              </w:rPr>
            </w:pPr>
          </w:p>
        </w:tc>
      </w:tr>
      <w:tr>
        <w:tblPrEx>
          <w:tblCellMar>
            <w:top w:w="0" w:type="dxa"/>
            <w:left w:w="108" w:type="dxa"/>
            <w:bottom w:w="0" w:type="dxa"/>
            <w:right w:w="108" w:type="dxa"/>
          </w:tblCellMar>
        </w:tblPrEx>
        <w:trPr>
          <w:trHeight w:val="1734"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42</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省林业厅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进入森林防火区进行实弹演习、爆破等活动的审批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委托济南、青岛、烟台市人民政府林业主管部门及青岛西海岸新区管理委员会实施</w:t>
            </w:r>
          </w:p>
        </w:tc>
      </w:tr>
      <w:tr>
        <w:tblPrEx>
          <w:tblCellMar>
            <w:top w:w="0" w:type="dxa"/>
            <w:left w:w="108" w:type="dxa"/>
            <w:bottom w:w="0" w:type="dxa"/>
            <w:right w:w="108" w:type="dxa"/>
          </w:tblCellMar>
        </w:tblPrEx>
        <w:trPr>
          <w:trHeight w:val="799"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序号</w:t>
            </w:r>
          </w:p>
        </w:tc>
        <w:tc>
          <w:tcPr>
            <w:tcW w:w="14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部门</w:t>
            </w:r>
          </w:p>
        </w:tc>
        <w:tc>
          <w:tcPr>
            <w:tcW w:w="31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事项名称</w:t>
            </w:r>
          </w:p>
        </w:tc>
        <w:tc>
          <w:tcPr>
            <w:tcW w:w="369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调整内容</w:t>
            </w:r>
          </w:p>
        </w:tc>
      </w:tr>
      <w:tr>
        <w:tblPrEx>
          <w:tblCellMar>
            <w:top w:w="0" w:type="dxa"/>
            <w:left w:w="108" w:type="dxa"/>
            <w:bottom w:w="0" w:type="dxa"/>
            <w:right w:w="108" w:type="dxa"/>
          </w:tblCellMar>
        </w:tblPrEx>
        <w:trPr>
          <w:trHeight w:val="169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43</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省林业厅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除国家级、省级生态公益林林地外临时占用生态保护红线外林地审批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下放至济南、青岛、烟台市人民政府林业主管部门及青岛西海岸新区管理委员会</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44</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省林业厅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国家二级保护野生植物采集、收购和出售</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授权青岛西海岸新区管理委员会实施</w:t>
            </w:r>
          </w:p>
        </w:tc>
      </w:tr>
      <w:tr>
        <w:tblPrEx>
          <w:tblCellMar>
            <w:top w:w="0" w:type="dxa"/>
            <w:left w:w="108" w:type="dxa"/>
            <w:bottom w:w="0" w:type="dxa"/>
            <w:right w:w="108" w:type="dxa"/>
          </w:tblCellMar>
        </w:tblPrEx>
        <w:trPr>
          <w:trHeight w:val="976"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45</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省卫生计生委</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医疗机构放射诊疗许可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委托济南市人民政府卫生主管部门实施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46</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省卫生计生委</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医疗机构放射诊疗许可校验</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委托济南市人民政府卫生主管部门实施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47</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省卫生计生委</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医疗机构放射诊疗许可变更</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委托济南市人民政府卫生主管部门实施</w:t>
            </w:r>
          </w:p>
        </w:tc>
      </w:tr>
      <w:tr>
        <w:tblPrEx>
          <w:tblCellMar>
            <w:top w:w="0" w:type="dxa"/>
            <w:left w:w="108" w:type="dxa"/>
            <w:bottom w:w="0" w:type="dxa"/>
            <w:right w:w="108" w:type="dxa"/>
          </w:tblCellMar>
        </w:tblPrEx>
        <w:trPr>
          <w:trHeight w:val="1320"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48</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省卫生计生委</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海外留学回国服务人员医师资格认定</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委托济南市人民政府卫生主管部门实施</w:t>
            </w:r>
          </w:p>
        </w:tc>
      </w:tr>
      <w:tr>
        <w:tblPrEx>
          <w:tblCellMar>
            <w:top w:w="0" w:type="dxa"/>
            <w:left w:w="108" w:type="dxa"/>
            <w:bottom w:w="0" w:type="dxa"/>
            <w:right w:w="108" w:type="dxa"/>
          </w:tblCellMar>
        </w:tblPrEx>
        <w:trPr>
          <w:trHeight w:val="17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49</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省环保厅</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除跨设区的市建设项目和辐射类建设项目外的省级环境影响评价文件审批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下放至济南、青岛、烟台市人民政府环境保护主管部门</w:t>
            </w:r>
          </w:p>
        </w:tc>
      </w:tr>
      <w:tr>
        <w:tblPrEx>
          <w:tblCellMar>
            <w:top w:w="0" w:type="dxa"/>
            <w:left w:w="108" w:type="dxa"/>
            <w:bottom w:w="0" w:type="dxa"/>
            <w:right w:w="108" w:type="dxa"/>
          </w:tblCellMar>
        </w:tblPrEx>
        <w:trPr>
          <w:trHeight w:val="1701"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50</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省旅游发展委</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导游证核发</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委托济南、青岛、烟台市人民政府旅游主管部门实施</w:t>
            </w:r>
          </w:p>
        </w:tc>
      </w:tr>
      <w:tr>
        <w:tblPrEx>
          <w:tblCellMar>
            <w:top w:w="0" w:type="dxa"/>
            <w:left w:w="108" w:type="dxa"/>
            <w:bottom w:w="0" w:type="dxa"/>
            <w:right w:w="108" w:type="dxa"/>
          </w:tblCellMar>
        </w:tblPrEx>
        <w:trPr>
          <w:trHeight w:val="143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51</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省新闻出版广电局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外商投资包装装潢和其他印刷品企业设立</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委托济南、青岛、烟台市人民政府新闻出版广电主管部门实施</w:t>
            </w:r>
          </w:p>
        </w:tc>
      </w:tr>
      <w:tr>
        <w:tblPrEx>
          <w:tblCellMar>
            <w:top w:w="0" w:type="dxa"/>
            <w:left w:w="108" w:type="dxa"/>
            <w:bottom w:w="0" w:type="dxa"/>
            <w:right w:w="108" w:type="dxa"/>
          </w:tblCellMar>
        </w:tblPrEx>
        <w:trPr>
          <w:trHeight w:val="799"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序号</w:t>
            </w:r>
          </w:p>
        </w:tc>
        <w:tc>
          <w:tcPr>
            <w:tcW w:w="14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部门</w:t>
            </w:r>
          </w:p>
        </w:tc>
        <w:tc>
          <w:tcPr>
            <w:tcW w:w="31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事项名称</w:t>
            </w:r>
          </w:p>
        </w:tc>
        <w:tc>
          <w:tcPr>
            <w:tcW w:w="369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调整内容</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52</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省安监局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非煤矿山企业安全生产许可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下放至青岛西海岸新区管理委员会</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53</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省安监局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危险化学品生产企业安全生产许可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下放至青岛西海岸新区管理委员会</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54</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省安监局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第一类非药品类易制毒化学品生产许可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委托青岛西海岸新区管理委员会实施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55</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省安监局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第一类非药品类易制毒化学品经营许可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委托青岛西海岸新区管理委员会实施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56</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省安监局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特种作业人员操作资格认定</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下放至青岛西海岸新区管理委员会</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57</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省安监局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除跨设区的市的生产、储存危险化学品的建设项目安全条件审查</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下放至青岛西海岸新区管理委员会</w:t>
            </w:r>
          </w:p>
        </w:tc>
      </w:tr>
      <w:tr>
        <w:tblPrEx>
          <w:tblCellMar>
            <w:top w:w="0" w:type="dxa"/>
            <w:left w:w="108" w:type="dxa"/>
            <w:bottom w:w="0" w:type="dxa"/>
            <w:right w:w="108" w:type="dxa"/>
          </w:tblCellMar>
        </w:tblPrEx>
        <w:trPr>
          <w:trHeight w:val="1702"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58</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省安监局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除跨设区的市的矿山、金属冶炼建设项目和用于生产、储存危险物品的建设项目安全设施设计审查</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下放至青岛西海岸新区管理委员会</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59</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省畜牧兽医局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一级种畜繁育场和从境外直接引进种畜禽场生产经营许可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委托济南、青岛、烟台市人民政府畜牧兽医主管部门实施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60</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省畜牧兽医局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动物和动物产品无害化处理场所防疫条件许可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委托济南、青岛、烟台市人民政府畜牧兽医主管部门实施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61</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省畜牧兽医局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跨省、自治区、直辖市引进种用、乳用动物及精液、胚胎、种蛋审批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委托济南、青岛、烟台市人民政府畜牧兽医主管部门实施</w:t>
            </w:r>
          </w:p>
        </w:tc>
      </w:tr>
      <w:tr>
        <w:tblPrEx>
          <w:tblCellMar>
            <w:top w:w="0" w:type="dxa"/>
            <w:left w:w="108" w:type="dxa"/>
            <w:bottom w:w="0" w:type="dxa"/>
            <w:right w:w="108" w:type="dxa"/>
          </w:tblCellMar>
        </w:tblPrEx>
        <w:trPr>
          <w:trHeight w:val="799"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序号</w:t>
            </w:r>
          </w:p>
        </w:tc>
        <w:tc>
          <w:tcPr>
            <w:tcW w:w="14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部门</w:t>
            </w:r>
          </w:p>
        </w:tc>
        <w:tc>
          <w:tcPr>
            <w:tcW w:w="31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事项名称</w:t>
            </w:r>
          </w:p>
        </w:tc>
        <w:tc>
          <w:tcPr>
            <w:tcW w:w="369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调整内容</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62</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省畜牧兽医局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饲料和饲料添加剂生产企业设立许可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委托济南、青岛、烟台市人民政府畜牧兽医主管部门实施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63</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省畜牧兽医局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兽用生物制品经营许可审批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委托济南、青岛、烟台市人民政府畜牧兽医主管部门实施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64</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省畜牧兽医局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兽药广告审批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委托济南、青岛、烟台市人民政府畜牧兽医主管部门实施</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65</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省畜牧兽医局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进口兽药通关单审批</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委托济南、青岛、烟台市人民政府畜牧兽医主管部门实施</w:t>
            </w:r>
          </w:p>
        </w:tc>
      </w:tr>
      <w:tr>
        <w:tblPrEx>
          <w:tblCellMar>
            <w:top w:w="0" w:type="dxa"/>
            <w:left w:w="108" w:type="dxa"/>
            <w:bottom w:w="0" w:type="dxa"/>
            <w:right w:w="108" w:type="dxa"/>
          </w:tblCellMar>
        </w:tblPrEx>
        <w:trPr>
          <w:trHeight w:val="2552"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66</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省文物局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非国有文物收藏单位和其他单位借用国有馆藏二级及以下文物举办展览许可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委托济南、青岛、烟台市人民政府文物主管部门实施。仅限于三市各自辖区内非国有文物收藏单位和其他单位借用国有馆藏二级及以下文物举办展览，三市之间不得互相借用</w:t>
            </w:r>
          </w:p>
        </w:tc>
      </w:tr>
      <w:tr>
        <w:tblPrEx>
          <w:tblCellMar>
            <w:top w:w="0" w:type="dxa"/>
            <w:left w:w="108" w:type="dxa"/>
            <w:bottom w:w="0" w:type="dxa"/>
            <w:right w:w="108" w:type="dxa"/>
          </w:tblCellMar>
        </w:tblPrEx>
        <w:trPr>
          <w:trHeight w:val="1896"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67</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省文物局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利用设区的市级以上文物保护单位举办展览、展销、演出等活动的许可</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委托济南、青岛、烟台市人民政府文物主管部门实施</w:t>
            </w:r>
          </w:p>
        </w:tc>
      </w:tr>
      <w:tr>
        <w:tblPrEx>
          <w:tblCellMar>
            <w:top w:w="0" w:type="dxa"/>
            <w:left w:w="108" w:type="dxa"/>
            <w:bottom w:w="0" w:type="dxa"/>
            <w:right w:w="108" w:type="dxa"/>
          </w:tblCellMar>
        </w:tblPrEx>
        <w:trPr>
          <w:trHeight w:val="1711"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68</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省文物局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博物馆重要事项变更审核</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委托济南、青岛、烟台市人民政府文物主管部门实施</w:t>
            </w:r>
          </w:p>
        </w:tc>
      </w:tr>
      <w:tr>
        <w:tblPrEx>
          <w:tblCellMar>
            <w:top w:w="0" w:type="dxa"/>
            <w:left w:w="108" w:type="dxa"/>
            <w:bottom w:w="0" w:type="dxa"/>
            <w:right w:w="108" w:type="dxa"/>
          </w:tblCellMar>
        </w:tblPrEx>
        <w:trPr>
          <w:trHeight w:val="168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69</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省文物局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文物收藏单位管理制度备案</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下放至济南、青岛、烟台市人民政府文物主管部门</w:t>
            </w:r>
          </w:p>
        </w:tc>
      </w:tr>
      <w:tr>
        <w:tblPrEx>
          <w:tblCellMar>
            <w:top w:w="0" w:type="dxa"/>
            <w:left w:w="108" w:type="dxa"/>
            <w:bottom w:w="0" w:type="dxa"/>
            <w:right w:w="108" w:type="dxa"/>
          </w:tblCellMar>
        </w:tblPrEx>
        <w:trPr>
          <w:trHeight w:val="799"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序号</w:t>
            </w:r>
          </w:p>
        </w:tc>
        <w:tc>
          <w:tcPr>
            <w:tcW w:w="14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部门</w:t>
            </w:r>
          </w:p>
        </w:tc>
        <w:tc>
          <w:tcPr>
            <w:tcW w:w="31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事项名称</w:t>
            </w:r>
          </w:p>
        </w:tc>
        <w:tc>
          <w:tcPr>
            <w:tcW w:w="369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黑体" w:hAnsi="黑体" w:eastAsia="黑体" w:cs="黑体"/>
                <w:color w:val="000000"/>
                <w:kern w:val="0"/>
              </w:rPr>
            </w:pPr>
            <w:r>
              <w:rPr>
                <w:rFonts w:hint="eastAsia" w:ascii="黑体" w:hAnsi="黑体" w:eastAsia="黑体" w:cs="黑体"/>
                <w:color w:val="000000"/>
                <w:kern w:val="0"/>
              </w:rPr>
              <w:t>调整内容</w:t>
            </w:r>
          </w:p>
        </w:tc>
      </w:tr>
      <w:tr>
        <w:tblPrEx>
          <w:tblCellMar>
            <w:top w:w="0" w:type="dxa"/>
            <w:left w:w="108" w:type="dxa"/>
            <w:bottom w:w="0" w:type="dxa"/>
            <w:right w:w="108" w:type="dxa"/>
          </w:tblCellMar>
        </w:tblPrEx>
        <w:trPr>
          <w:trHeight w:val="1253"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仿宋"/>
                <w:kern w:val="0"/>
              </w:rPr>
            </w:pPr>
            <w:r>
              <w:rPr>
                <w:rFonts w:hint="eastAsia" w:ascii="宋体" w:hAnsi="宋体" w:eastAsia="仿宋"/>
                <w:kern w:val="0"/>
              </w:rPr>
              <w:t>70</w:t>
            </w:r>
          </w:p>
        </w:tc>
        <w:tc>
          <w:tcPr>
            <w:tcW w:w="14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仿宋"/>
                <w:color w:val="000000"/>
                <w:kern w:val="0"/>
              </w:rPr>
            </w:pPr>
            <w:r>
              <w:rPr>
                <w:rFonts w:hint="eastAsia" w:ascii="宋体" w:hAnsi="宋体" w:eastAsia="仿宋"/>
                <w:color w:val="000000"/>
                <w:kern w:val="0"/>
              </w:rPr>
              <w:t>省文物局</w:t>
            </w:r>
          </w:p>
        </w:tc>
        <w:tc>
          <w:tcPr>
            <w:tcW w:w="3190"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提供文物复制、拓印模具和技术资料审核</w:t>
            </w:r>
          </w:p>
        </w:tc>
        <w:tc>
          <w:tcPr>
            <w:tcW w:w="3698"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仿宋"/>
                <w:kern w:val="0"/>
              </w:rPr>
            </w:pPr>
            <w:r>
              <w:rPr>
                <w:rFonts w:hint="eastAsia" w:ascii="宋体" w:hAnsi="宋体" w:eastAsia="仿宋"/>
                <w:kern w:val="0"/>
              </w:rPr>
              <w:t>下放至济南、青岛、烟台市人民政府文物主管部门</w:t>
            </w:r>
          </w:p>
        </w:tc>
      </w:tr>
    </w:tbl>
    <w:p>
      <w:pPr>
        <w:spacing w:line="360" w:lineRule="auto"/>
      </w:pPr>
    </w:p>
    <w:p>
      <w:pPr>
        <w:spacing w:line="360" w:lineRule="auto"/>
        <w:rPr>
          <w:rFonts w:asciiTheme="minorEastAsia" w:hAnsiTheme="minorEastAsia" w:cstheme="minorEastAsia"/>
          <w:sz w:val="44"/>
          <w:szCs w:val="44"/>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山东省人民政府发布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jYwYjAyMmViMDU3NjMwMzVhMjMzOGM3MzY1MTkifQ=="/>
  </w:docVars>
  <w:rsids>
    <w:rsidRoot w:val="00172A27"/>
    <w:rsid w:val="00172A27"/>
    <w:rsid w:val="001B6992"/>
    <w:rsid w:val="00302882"/>
    <w:rsid w:val="00496090"/>
    <w:rsid w:val="00892ED1"/>
    <w:rsid w:val="0099668A"/>
    <w:rsid w:val="00AA2A39"/>
    <w:rsid w:val="00B5050A"/>
    <w:rsid w:val="00B64987"/>
    <w:rsid w:val="00B652CE"/>
    <w:rsid w:val="00C408A4"/>
    <w:rsid w:val="00F47500"/>
    <w:rsid w:val="00FC11B4"/>
    <w:rsid w:val="019E71BD"/>
    <w:rsid w:val="01BC13D6"/>
    <w:rsid w:val="04B679C3"/>
    <w:rsid w:val="080F63D8"/>
    <w:rsid w:val="09341458"/>
    <w:rsid w:val="0B0912D7"/>
    <w:rsid w:val="152D2DCA"/>
    <w:rsid w:val="1DEC284C"/>
    <w:rsid w:val="1E6523AC"/>
    <w:rsid w:val="21E47F0B"/>
    <w:rsid w:val="22440422"/>
    <w:rsid w:val="2A556417"/>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next w:val="4"/>
    <w:qFormat/>
    <w:uiPriority w:val="0"/>
    <w:pPr>
      <w:spacing w:before="100" w:beforeAutospacing="1" w:after="100" w:afterAutospacing="1"/>
    </w:pPr>
    <w:rPr>
      <w:rFonts w:ascii="宋体" w:hAnsi="Times New Roman" w:eastAsia="宋体" w:cs="宋体"/>
      <w:sz w:val="24"/>
      <w:szCs w:val="24"/>
      <w:lang w:val="en-US" w:eastAsia="zh-CN" w:bidi="ar-SA"/>
    </w:rPr>
  </w:style>
  <w:style w:type="character" w:styleId="8">
    <w:name w:val="Strong"/>
    <w:qFormat/>
    <w:uiPriority w:val="0"/>
    <w:rPr>
      <w:b/>
      <w:bCs/>
    </w:rPr>
  </w:style>
  <w:style w:type="character" w:styleId="9">
    <w:name w:val="annotation reference"/>
    <w:basedOn w:val="7"/>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4379</Words>
  <Characters>4450</Characters>
  <Lines>34</Lines>
  <Paragraphs>9</Paragraphs>
  <TotalTime>1</TotalTime>
  <ScaleCrop>false</ScaleCrop>
  <LinksUpToDate>false</LinksUpToDate>
  <CharactersWithSpaces>4499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2021-12-09T07:30:00Z</dcterms:created>
  <dc:creator>t</dc:creator>
  <cp:lastModifiedBy>a</cp:lastModifiedBy>
  <cp:lastPrinted>2021-10-26T03:30:00Z</cp:lastPrinted>
  <dcterms:modified xsi:type="dcterms:W3CDTF">2022-08-16T07:20:30Z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A1303746B7FD46EFA692E288348D6026</vt:lpwstr>
  </property>
</Properties>
</file>