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872" w:firstLineChars="200"/>
        <w:jc w:val="center"/>
        <w:textAlignment w:val="auto"/>
        <w:outlineLvl w:val="9"/>
        <w:rPr>
          <w:rFonts w:ascii="宋体" w:hAnsi="宋体" w:eastAsia="宋体" w:cs="宋体"/>
          <w:b/>
          <w:bCs/>
          <w:kern w:val="0"/>
          <w:sz w:val="44"/>
          <w:szCs w:val="44"/>
        </w:rPr>
      </w:pPr>
      <w:r>
        <w:rPr>
          <w:rFonts w:hint="eastAsia" w:ascii="宋体" w:hAnsi="宋体" w:eastAsia="宋体" w:cs="宋体"/>
          <w:b/>
          <w:bCs/>
          <w:kern w:val="0"/>
          <w:sz w:val="44"/>
          <w:szCs w:val="44"/>
        </w:rPr>
        <w:t>山东</w:t>
      </w:r>
      <w:r>
        <w:rPr>
          <w:rFonts w:ascii="宋体" w:hAnsi="宋体" w:eastAsia="宋体" w:cs="宋体"/>
          <w:b/>
          <w:bCs/>
          <w:kern w:val="0"/>
          <w:sz w:val="44"/>
          <w:szCs w:val="44"/>
        </w:rPr>
        <w:t>省重大行政决策程序规定</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jc w:val="center"/>
        <w:textAlignment w:val="auto"/>
        <w:outlineLvl w:val="9"/>
        <w:rPr>
          <w:rFonts w:ascii="楷体" w:hAnsi="楷体" w:eastAsia="楷体" w:cs="楷体"/>
          <w:kern w:val="0"/>
          <w:szCs w:val="32"/>
        </w:rPr>
      </w:pPr>
      <w:r>
        <w:rPr>
          <w:rFonts w:hint="eastAsia" w:ascii="楷体" w:hAnsi="楷体" w:eastAsia="楷体" w:cs="楷体"/>
          <w:kern w:val="0"/>
          <w:szCs w:val="32"/>
        </w:rPr>
        <w:t>（草案征求意见稿）</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ascii="楷体" w:hAnsi="楷体" w:eastAsia="楷体" w:cs="宋体"/>
          <w:kern w:val="0"/>
          <w:szCs w:val="32"/>
        </w:rPr>
      </w:pP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jc w:val="center"/>
        <w:textAlignment w:val="auto"/>
        <w:outlineLvl w:val="9"/>
        <w:rPr>
          <w:rFonts w:ascii="楷体" w:hAnsi="楷体" w:eastAsia="楷体" w:cs="楷体"/>
          <w:bCs/>
          <w:kern w:val="0"/>
          <w:szCs w:val="32"/>
        </w:rPr>
      </w:pPr>
      <w:r>
        <w:rPr>
          <w:rFonts w:hint="eastAsia" w:ascii="楷体" w:hAnsi="楷体" w:eastAsia="楷体" w:cs="楷体"/>
          <w:bCs/>
          <w:kern w:val="0"/>
          <w:szCs w:val="32"/>
        </w:rPr>
        <w:t>目   录</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ascii="楷体" w:hAnsi="楷体" w:eastAsia="楷体" w:cs="楷体"/>
          <w:bCs/>
          <w:kern w:val="0"/>
          <w:szCs w:val="32"/>
        </w:rPr>
      </w:pPr>
      <w:r>
        <w:rPr>
          <w:rFonts w:hint="eastAsia" w:ascii="楷体" w:hAnsi="楷体" w:eastAsia="楷体" w:cs="楷体"/>
          <w:bCs/>
          <w:kern w:val="0"/>
          <w:szCs w:val="32"/>
        </w:rPr>
        <w:t>第一章　总 则</w:t>
      </w:r>
    </w:p>
    <w:p>
      <w:pPr>
        <w:keepNext w:val="0"/>
        <w:keepLines w:val="0"/>
        <w:pageBreakBefore w:val="0"/>
        <w:widowControl/>
        <w:shd w:val="clear" w:color="auto" w:fill="FFFFFF"/>
        <w:tabs>
          <w:tab w:val="left" w:pos="4654"/>
        </w:tabs>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ascii="楷体" w:hAnsi="楷体" w:eastAsia="楷体" w:cs="楷体"/>
          <w:bCs/>
          <w:kern w:val="0"/>
          <w:szCs w:val="32"/>
        </w:rPr>
      </w:pPr>
      <w:r>
        <w:rPr>
          <w:rFonts w:hint="eastAsia" w:ascii="楷体" w:hAnsi="楷体" w:eastAsia="楷体" w:cs="楷体"/>
          <w:bCs/>
          <w:kern w:val="0"/>
          <w:szCs w:val="32"/>
        </w:rPr>
        <w:t>第二章　决策草案的形成</w:t>
      </w:r>
    </w:p>
    <w:p>
      <w:pPr>
        <w:keepNext w:val="0"/>
        <w:keepLines w:val="0"/>
        <w:pageBreakBefore w:val="0"/>
        <w:widowControl/>
        <w:shd w:val="clear" w:color="auto" w:fill="FFFFFF"/>
        <w:tabs>
          <w:tab w:val="left" w:pos="4654"/>
        </w:tabs>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bCs/>
          <w:kern w:val="0"/>
          <w:szCs w:val="32"/>
        </w:rPr>
      </w:pPr>
      <w:r>
        <w:rPr>
          <w:rFonts w:hint="eastAsia" w:ascii="楷体" w:hAnsi="楷体" w:eastAsia="楷体" w:cs="楷体"/>
          <w:bCs/>
          <w:kern w:val="0"/>
          <w:szCs w:val="32"/>
        </w:rPr>
        <w:t xml:space="preserve"> </w:t>
      </w:r>
      <w:r>
        <w:rPr>
          <w:rFonts w:hint="eastAsia" w:ascii="仿宋" w:hAnsi="仿宋" w:cs="仿宋"/>
          <w:bCs/>
          <w:kern w:val="0"/>
          <w:szCs w:val="32"/>
        </w:rPr>
        <w:t xml:space="preserve"> </w:t>
      </w:r>
      <w:r>
        <w:rPr>
          <w:rFonts w:hint="eastAsia" w:ascii="仿宋_GB2312" w:hAnsi="仿宋_GB2312" w:eastAsia="仿宋_GB2312" w:cs="仿宋_GB2312"/>
          <w:bCs/>
          <w:kern w:val="0"/>
          <w:szCs w:val="32"/>
        </w:rPr>
        <w:t>第一节  决策启动</w:t>
      </w:r>
      <w:r>
        <w:rPr>
          <w:rFonts w:hint="eastAsia" w:ascii="仿宋_GB2312" w:hAnsi="仿宋_GB2312" w:eastAsia="仿宋_GB2312" w:cs="仿宋_GB2312"/>
          <w:bCs/>
          <w:kern w:val="0"/>
          <w:szCs w:val="32"/>
        </w:rPr>
        <w:tab/>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bCs/>
          <w:kern w:val="0"/>
          <w:szCs w:val="32"/>
        </w:rPr>
      </w:pPr>
      <w:r>
        <w:rPr>
          <w:rFonts w:hint="eastAsia" w:ascii="仿宋_GB2312" w:hAnsi="仿宋_GB2312" w:eastAsia="仿宋_GB2312" w:cs="仿宋_GB2312"/>
          <w:bCs/>
          <w:kern w:val="0"/>
          <w:szCs w:val="32"/>
        </w:rPr>
        <w:t>第二节　公众参与</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bCs/>
          <w:kern w:val="0"/>
          <w:szCs w:val="32"/>
        </w:rPr>
      </w:pPr>
      <w:r>
        <w:rPr>
          <w:rFonts w:hint="eastAsia" w:ascii="仿宋_GB2312" w:hAnsi="仿宋_GB2312" w:eastAsia="仿宋_GB2312" w:cs="仿宋_GB2312"/>
          <w:bCs/>
          <w:kern w:val="0"/>
          <w:szCs w:val="32"/>
        </w:rPr>
        <w:t>第三节　专家论证</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ascii="仿宋" w:hAnsi="仿宋" w:cs="仿宋"/>
          <w:bCs/>
          <w:kern w:val="0"/>
          <w:szCs w:val="32"/>
        </w:rPr>
      </w:pPr>
      <w:r>
        <w:rPr>
          <w:rFonts w:hint="eastAsia" w:ascii="仿宋_GB2312" w:hAnsi="仿宋_GB2312" w:eastAsia="仿宋_GB2312" w:cs="仿宋_GB2312"/>
          <w:bCs/>
          <w:kern w:val="0"/>
          <w:szCs w:val="32"/>
        </w:rPr>
        <w:t>第四节　风险评估</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ascii="楷体" w:hAnsi="楷体" w:eastAsia="楷体" w:cs="楷体"/>
          <w:bCs/>
          <w:kern w:val="0"/>
          <w:szCs w:val="32"/>
        </w:rPr>
      </w:pPr>
      <w:r>
        <w:rPr>
          <w:rFonts w:hint="eastAsia" w:ascii="楷体" w:hAnsi="楷体" w:eastAsia="楷体" w:cs="楷体"/>
          <w:bCs/>
          <w:kern w:val="0"/>
          <w:szCs w:val="32"/>
        </w:rPr>
        <w:t>第三章　合法性审查</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ascii="楷体" w:hAnsi="楷体" w:eastAsia="楷体" w:cs="楷体"/>
          <w:bCs/>
          <w:kern w:val="0"/>
          <w:szCs w:val="32"/>
        </w:rPr>
      </w:pPr>
      <w:r>
        <w:rPr>
          <w:rFonts w:hint="eastAsia" w:ascii="楷体" w:hAnsi="楷体" w:eastAsia="楷体" w:cs="楷体"/>
          <w:bCs/>
          <w:kern w:val="0"/>
          <w:szCs w:val="32"/>
        </w:rPr>
        <w:t>第四章　集体讨论决定和决策公布</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ascii="楷体" w:hAnsi="楷体" w:eastAsia="楷体" w:cs="楷体"/>
          <w:bCs/>
          <w:kern w:val="0"/>
          <w:szCs w:val="32"/>
        </w:rPr>
      </w:pPr>
      <w:r>
        <w:rPr>
          <w:rFonts w:hint="eastAsia" w:ascii="楷体" w:hAnsi="楷体" w:eastAsia="楷体" w:cs="楷体"/>
          <w:bCs/>
          <w:kern w:val="0"/>
          <w:szCs w:val="32"/>
        </w:rPr>
        <w:t>第五章　决策执行和调整</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ascii="楷体" w:hAnsi="楷体" w:eastAsia="楷体" w:cs="楷体"/>
          <w:bCs/>
          <w:kern w:val="0"/>
          <w:szCs w:val="32"/>
        </w:rPr>
      </w:pPr>
      <w:r>
        <w:rPr>
          <w:rFonts w:hint="eastAsia" w:ascii="楷体" w:hAnsi="楷体" w:eastAsia="楷体" w:cs="楷体"/>
          <w:bCs/>
          <w:kern w:val="0"/>
          <w:szCs w:val="32"/>
        </w:rPr>
        <w:t>第六章　法律责任</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ascii="楷体" w:hAnsi="楷体" w:eastAsia="楷体" w:cs="楷体"/>
          <w:bCs/>
          <w:kern w:val="0"/>
          <w:szCs w:val="32"/>
        </w:rPr>
      </w:pPr>
      <w:r>
        <w:rPr>
          <w:rFonts w:hint="eastAsia" w:ascii="楷体" w:hAnsi="楷体" w:eastAsia="楷体" w:cs="楷体"/>
          <w:bCs/>
          <w:kern w:val="0"/>
          <w:szCs w:val="32"/>
        </w:rPr>
        <w:t>第七章　附 则</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ascii="宋体" w:hAnsi="宋体" w:eastAsia="宋体" w:cs="宋体"/>
          <w:kern w:val="0"/>
          <w:szCs w:val="32"/>
        </w:rPr>
      </w:pP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jc w:val="center"/>
        <w:textAlignment w:val="auto"/>
        <w:outlineLvl w:val="9"/>
        <w:rPr>
          <w:rFonts w:ascii="宋体" w:hAnsi="宋体" w:eastAsia="宋体" w:cs="宋体"/>
          <w:b/>
          <w:kern w:val="0"/>
          <w:szCs w:val="32"/>
        </w:rPr>
      </w:pPr>
      <w:r>
        <w:rPr>
          <w:rFonts w:ascii="宋体" w:hAnsi="宋体" w:eastAsia="宋体" w:cs="宋体"/>
          <w:b/>
          <w:kern w:val="0"/>
          <w:szCs w:val="32"/>
        </w:rPr>
        <w:t>第一章</w:t>
      </w:r>
      <w:r>
        <w:rPr>
          <w:rFonts w:hint="eastAsia" w:ascii="宋体" w:hAnsi="宋体" w:eastAsia="宋体" w:cs="宋体"/>
          <w:b/>
          <w:kern w:val="0"/>
          <w:szCs w:val="32"/>
        </w:rPr>
        <w:t xml:space="preserve">  </w:t>
      </w:r>
      <w:r>
        <w:rPr>
          <w:rFonts w:ascii="宋体" w:hAnsi="宋体" w:eastAsia="宋体" w:cs="宋体"/>
          <w:b/>
          <w:kern w:val="0"/>
          <w:szCs w:val="32"/>
        </w:rPr>
        <w:t>总</w:t>
      </w:r>
      <w:r>
        <w:rPr>
          <w:rFonts w:hint="eastAsia" w:ascii="宋体" w:hAnsi="宋体" w:eastAsia="宋体" w:cs="宋体"/>
          <w:b/>
          <w:kern w:val="0"/>
          <w:szCs w:val="32"/>
        </w:rPr>
        <w:t xml:space="preserve">  </w:t>
      </w:r>
      <w:r>
        <w:rPr>
          <w:rFonts w:ascii="宋体" w:hAnsi="宋体" w:eastAsia="宋体" w:cs="宋体"/>
          <w:b/>
          <w:kern w:val="0"/>
          <w:szCs w:val="32"/>
        </w:rPr>
        <w:t>则</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ascii="宋体" w:hAnsi="宋体" w:eastAsia="宋体" w:cs="宋体"/>
          <w:kern w:val="0"/>
          <w:szCs w:val="32"/>
        </w:rPr>
      </w:pPr>
      <w:bookmarkStart w:id="0" w:name="1"/>
      <w:r>
        <w:rPr>
          <w:rFonts w:ascii="宋体" w:hAnsi="宋体" w:eastAsia="宋体" w:cs="宋体"/>
          <w:kern w:val="0"/>
          <w:szCs w:val="32"/>
        </w:rPr>
        <w:t>　　</w:t>
      </w:r>
    </w:p>
    <w:bookmarkEnd w:id="0"/>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kern w:val="0"/>
          <w:szCs w:val="32"/>
        </w:rPr>
      </w:pPr>
      <w:r>
        <w:rPr>
          <w:rFonts w:hint="eastAsia" w:ascii="黑体" w:hAnsi="黑体" w:eastAsia="黑体" w:cs="黑体"/>
          <w:kern w:val="0"/>
          <w:szCs w:val="32"/>
        </w:rPr>
        <w:t>第一条</w:t>
      </w:r>
      <w:r>
        <w:rPr>
          <w:rFonts w:hint="eastAsia" w:ascii="楷体" w:hAnsi="楷体" w:eastAsia="楷体" w:cs="宋体"/>
          <w:kern w:val="0"/>
          <w:szCs w:val="32"/>
        </w:rPr>
        <w:t xml:space="preserve">【立法目的和依据】 </w:t>
      </w:r>
      <w:r>
        <w:rPr>
          <w:rFonts w:hint="eastAsia" w:ascii="仿宋_GB2312" w:hAnsi="仿宋_GB2312" w:eastAsia="仿宋_GB2312" w:cs="仿宋_GB2312"/>
          <w:kern w:val="0"/>
          <w:szCs w:val="32"/>
        </w:rPr>
        <w:t>为了健全科学、民主、依法决策机制，完善重大</w:t>
      </w:r>
      <w:r>
        <w:rPr>
          <w:rFonts w:hint="eastAsia" w:ascii="仿宋_GB2312" w:hAnsi="仿宋_GB2312" w:eastAsia="仿宋_GB2312" w:cs="仿宋_GB2312"/>
          <w:iCs/>
          <w:kern w:val="0"/>
          <w:szCs w:val="32"/>
        </w:rPr>
        <w:t>行政决策程序</w:t>
      </w:r>
      <w:r>
        <w:rPr>
          <w:rFonts w:hint="eastAsia" w:ascii="仿宋_GB2312" w:hAnsi="仿宋_GB2312" w:eastAsia="仿宋_GB2312" w:cs="仿宋_GB2312"/>
          <w:kern w:val="0"/>
          <w:szCs w:val="32"/>
        </w:rPr>
        <w:t>，规范重大行政决策行为，提高决策质量和效率，明确决策责任，根据《中华人民共和国地方各级人民代表大会和地方各级人民政府组织法》和国务院《重大</w:t>
      </w:r>
      <w:r>
        <w:rPr>
          <w:rFonts w:hint="eastAsia" w:ascii="仿宋_GB2312" w:hAnsi="仿宋_GB2312" w:eastAsia="仿宋_GB2312" w:cs="仿宋_GB2312"/>
          <w:iCs/>
          <w:kern w:val="0"/>
          <w:szCs w:val="32"/>
        </w:rPr>
        <w:t>行政决策程序</w:t>
      </w:r>
      <w:r>
        <w:rPr>
          <w:rFonts w:hint="eastAsia" w:ascii="仿宋_GB2312" w:hAnsi="仿宋_GB2312" w:eastAsia="仿宋_GB2312" w:cs="仿宋_GB2312"/>
          <w:kern w:val="0"/>
          <w:szCs w:val="32"/>
        </w:rPr>
        <w:t>暂行条例》等法律、法规，结合本省实际，制定本规定。</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kern w:val="0"/>
          <w:szCs w:val="32"/>
        </w:rPr>
      </w:pPr>
      <w:r>
        <w:rPr>
          <w:rFonts w:hint="eastAsia" w:ascii="黑体" w:hAnsi="黑体" w:eastAsia="黑体" w:cs="黑体"/>
          <w:kern w:val="0"/>
          <w:szCs w:val="32"/>
        </w:rPr>
        <w:t>第二条</w:t>
      </w:r>
      <w:r>
        <w:rPr>
          <w:rFonts w:hint="eastAsia" w:ascii="楷体" w:hAnsi="楷体" w:eastAsia="楷体" w:cs="宋体"/>
          <w:kern w:val="0"/>
          <w:szCs w:val="32"/>
        </w:rPr>
        <w:t xml:space="preserve">【适用范围】 </w:t>
      </w:r>
      <w:r>
        <w:rPr>
          <w:rFonts w:hint="eastAsia" w:ascii="仿宋_GB2312" w:hAnsi="仿宋_GB2312" w:eastAsia="仿宋_GB2312" w:cs="仿宋_GB2312"/>
          <w:color w:val="000000"/>
          <w:kern w:val="0"/>
          <w:szCs w:val="32"/>
        </w:rPr>
        <w:t>本省行政区域内</w:t>
      </w:r>
      <w:r>
        <w:rPr>
          <w:rFonts w:hint="eastAsia" w:ascii="仿宋_GB2312" w:hAnsi="仿宋_GB2312" w:eastAsia="仿宋_GB2312" w:cs="仿宋_GB2312"/>
          <w:kern w:val="0"/>
          <w:szCs w:val="32"/>
        </w:rPr>
        <w:t>县级以上人民政府（以下统称决策机关）重大行政决策的作出、执行和调整程序，适用本规定。</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kern w:val="0"/>
          <w:szCs w:val="32"/>
        </w:rPr>
      </w:pPr>
      <w:r>
        <w:rPr>
          <w:rFonts w:hint="eastAsia" w:ascii="黑体" w:hAnsi="黑体" w:eastAsia="黑体" w:cs="黑体"/>
          <w:kern w:val="0"/>
          <w:szCs w:val="32"/>
        </w:rPr>
        <w:t xml:space="preserve">第三条 </w:t>
      </w:r>
      <w:r>
        <w:rPr>
          <w:rFonts w:hint="eastAsia" w:ascii="楷体" w:hAnsi="楷体" w:eastAsia="楷体" w:cs="宋体"/>
          <w:kern w:val="0"/>
          <w:szCs w:val="32"/>
        </w:rPr>
        <w:t xml:space="preserve">【事项适用范围】  </w:t>
      </w:r>
      <w:r>
        <w:rPr>
          <w:rFonts w:hint="eastAsia" w:ascii="仿宋_GB2312" w:hAnsi="仿宋_GB2312" w:eastAsia="仿宋_GB2312" w:cs="仿宋_GB2312"/>
          <w:kern w:val="0"/>
          <w:szCs w:val="32"/>
        </w:rPr>
        <w:t>本规定所称重大行政决策事项（以下简称决策事项）包括：</w:t>
      </w: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left="0" w:leftChars="0" w:right="0" w:rightChars="0" w:firstLine="632" w:firstLineChars="200"/>
        <w:textAlignment w:val="auto"/>
        <w:outlineLvl w:val="9"/>
        <w:rPr>
          <w:rStyle w:val="8"/>
          <w:rFonts w:hint="eastAsia" w:ascii="仿宋_GB2312" w:hAnsi="仿宋_GB2312" w:eastAsia="仿宋_GB2312" w:cs="仿宋_GB2312"/>
          <w:color w:val="auto"/>
          <w:szCs w:val="32"/>
          <w:u w:val="none"/>
          <w:shd w:val="clear" w:color="auto" w:fill="FFFFFF"/>
        </w:rPr>
      </w:pPr>
      <w:r>
        <w:rPr>
          <w:rStyle w:val="8"/>
          <w:rFonts w:hint="eastAsia" w:ascii="仿宋_GB2312" w:hAnsi="仿宋_GB2312" w:eastAsia="仿宋_GB2312" w:cs="仿宋_GB2312"/>
          <w:color w:val="auto"/>
          <w:szCs w:val="32"/>
          <w:u w:val="none"/>
          <w:shd w:val="clear" w:color="auto" w:fill="FFFFFF"/>
        </w:rPr>
        <w:t>（一）制定有关劳动就业、社会保障、教育、医疗卫生、市场监管、社会管理、环境保护等方面的重大公共政策和措施；</w:t>
      </w:r>
    </w:p>
    <w:p>
      <w:pPr>
        <w:keepNext w:val="0"/>
        <w:keepLines w:val="0"/>
        <w:pageBreakBefore w:val="0"/>
        <w:widowControl/>
        <w:shd w:val="clear" w:color="auto" w:fill="FFFFFF"/>
        <w:kinsoku/>
        <w:wordWrap/>
        <w:overflowPunct/>
        <w:topLinePunct w:val="0"/>
        <w:autoSpaceDE/>
        <w:autoSpaceDN/>
        <w:bidi w:val="0"/>
        <w:spacing w:line="520" w:lineRule="exact"/>
        <w:ind w:left="0" w:leftChars="0" w:right="0" w:rightChars="0" w:firstLine="632" w:firstLineChars="200"/>
        <w:jc w:val="left"/>
        <w:textAlignment w:val="auto"/>
        <w:outlineLvl w:val="9"/>
        <w:rPr>
          <w:rStyle w:val="8"/>
          <w:rFonts w:hint="eastAsia" w:ascii="仿宋_GB2312" w:hAnsi="仿宋_GB2312" w:eastAsia="仿宋_GB2312" w:cs="仿宋_GB2312"/>
          <w:color w:val="auto"/>
          <w:szCs w:val="32"/>
          <w:u w:val="none"/>
          <w:shd w:val="clear" w:color="auto" w:fill="FFFFFF"/>
        </w:rPr>
      </w:pPr>
      <w:r>
        <w:rPr>
          <w:rStyle w:val="8"/>
          <w:rFonts w:hint="eastAsia" w:ascii="仿宋_GB2312" w:hAnsi="仿宋_GB2312" w:eastAsia="仿宋_GB2312" w:cs="仿宋_GB2312"/>
          <w:color w:val="auto"/>
          <w:szCs w:val="32"/>
          <w:u w:val="none"/>
          <w:shd w:val="clear" w:color="auto" w:fill="FFFFFF"/>
        </w:rPr>
        <w:t>（二）制定各类总体规划、重要的</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"https://baike.baidu.com/item/%E5%8C%BA%E5%9F%9F%E8%A7%84%E5%88%92/5790411" \t "https://baike.baidu.com/item/%E5%B1%B1%E4%B8%9C%E7%9C%81%E8%A1%8C%E6%94%BF%E7%A8%8B%E5%BA%8F%E8%A7%84%E5%AE%9A/_blank" </w:instrText>
      </w:r>
      <w:r>
        <w:rPr>
          <w:rFonts w:hint="eastAsia" w:ascii="仿宋_GB2312" w:hAnsi="仿宋_GB2312" w:eastAsia="仿宋_GB2312" w:cs="仿宋_GB2312"/>
        </w:rPr>
        <w:fldChar w:fldCharType="separate"/>
      </w:r>
      <w:r>
        <w:rPr>
          <w:rStyle w:val="8"/>
          <w:rFonts w:hint="eastAsia" w:ascii="仿宋_GB2312" w:hAnsi="仿宋_GB2312" w:eastAsia="仿宋_GB2312" w:cs="仿宋_GB2312"/>
          <w:color w:val="auto"/>
          <w:szCs w:val="32"/>
          <w:u w:val="none"/>
          <w:shd w:val="clear" w:color="auto" w:fill="FFFFFF"/>
        </w:rPr>
        <w:t>区域规划</w:t>
      </w:r>
      <w:r>
        <w:rPr>
          <w:rStyle w:val="8"/>
          <w:rFonts w:hint="eastAsia" w:ascii="仿宋_GB2312" w:hAnsi="仿宋_GB2312" w:eastAsia="仿宋_GB2312" w:cs="仿宋_GB2312"/>
          <w:color w:val="auto"/>
          <w:szCs w:val="32"/>
          <w:u w:val="none"/>
          <w:shd w:val="clear" w:color="auto" w:fill="FFFFFF"/>
        </w:rPr>
        <w:fldChar w:fldCharType="end"/>
      </w:r>
      <w:r>
        <w:rPr>
          <w:rStyle w:val="8"/>
          <w:rFonts w:hint="eastAsia" w:ascii="仿宋_GB2312" w:hAnsi="仿宋_GB2312" w:eastAsia="仿宋_GB2312" w:cs="仿宋_GB2312"/>
          <w:color w:val="auto"/>
          <w:szCs w:val="32"/>
          <w:u w:val="none"/>
          <w:shd w:val="clear" w:color="auto" w:fill="FFFFFF"/>
        </w:rPr>
        <w:t>、</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"https://baike.baidu.com/item/%E4%B8%93%E9%A1%B9%E8%A7%84%E5%88%92" \t "https://baike.baidu.com/item/%E5%B1%B1%E4%B8%9C%E7%9C%81%E8%A1%8C%E6%94%BF%E7%A8%8B%E5%BA%8F%E8%A7%84%E5%AE%9A/_blank" </w:instrText>
      </w:r>
      <w:r>
        <w:rPr>
          <w:rFonts w:hint="eastAsia" w:ascii="仿宋_GB2312" w:hAnsi="仿宋_GB2312" w:eastAsia="仿宋_GB2312" w:cs="仿宋_GB2312"/>
        </w:rPr>
        <w:fldChar w:fldCharType="separate"/>
      </w:r>
      <w:r>
        <w:rPr>
          <w:rStyle w:val="8"/>
          <w:rFonts w:hint="eastAsia" w:ascii="仿宋_GB2312" w:hAnsi="仿宋_GB2312" w:eastAsia="仿宋_GB2312" w:cs="仿宋_GB2312"/>
          <w:color w:val="auto"/>
          <w:szCs w:val="32"/>
          <w:u w:val="none"/>
          <w:shd w:val="clear" w:color="auto" w:fill="FFFFFF"/>
        </w:rPr>
        <w:t>专项规划</w:t>
      </w:r>
      <w:r>
        <w:rPr>
          <w:rStyle w:val="8"/>
          <w:rFonts w:hint="eastAsia" w:ascii="仿宋_GB2312" w:hAnsi="仿宋_GB2312" w:eastAsia="仿宋_GB2312" w:cs="仿宋_GB2312"/>
          <w:color w:val="auto"/>
          <w:szCs w:val="32"/>
          <w:u w:val="none"/>
          <w:shd w:val="clear" w:color="auto" w:fill="FFFFFF"/>
        </w:rPr>
        <w:fldChar w:fldCharType="end"/>
      </w:r>
      <w:r>
        <w:rPr>
          <w:rStyle w:val="8"/>
          <w:rFonts w:hint="eastAsia" w:ascii="仿宋_GB2312" w:hAnsi="仿宋_GB2312" w:eastAsia="仿宋_GB2312" w:cs="仿宋_GB2312"/>
          <w:color w:val="auto"/>
          <w:szCs w:val="32"/>
          <w:u w:val="none"/>
          <w:shd w:val="clear" w:color="auto" w:fill="FFFFFF"/>
        </w:rPr>
        <w:t>和产业规划等；</w:t>
      </w:r>
    </w:p>
    <w:p>
      <w:pPr>
        <w:keepNext w:val="0"/>
        <w:keepLines w:val="0"/>
        <w:pageBreakBefore w:val="0"/>
        <w:widowControl/>
        <w:shd w:val="clear" w:color="auto" w:fill="FFFFFF"/>
        <w:kinsoku/>
        <w:wordWrap/>
        <w:overflowPunct/>
        <w:topLinePunct w:val="0"/>
        <w:autoSpaceDE/>
        <w:autoSpaceDN/>
        <w:bidi w:val="0"/>
        <w:spacing w:line="520" w:lineRule="exact"/>
        <w:ind w:left="0" w:leftChars="0" w:right="0" w:rightChars="0" w:firstLine="632" w:firstLineChars="200"/>
        <w:jc w:val="left"/>
        <w:textAlignment w:val="auto"/>
        <w:outlineLvl w:val="9"/>
        <w:rPr>
          <w:rStyle w:val="8"/>
          <w:rFonts w:hint="eastAsia" w:ascii="仿宋_GB2312" w:hAnsi="仿宋_GB2312" w:eastAsia="仿宋_GB2312" w:cs="仿宋_GB2312"/>
          <w:color w:val="auto"/>
          <w:szCs w:val="32"/>
          <w:u w:val="none"/>
          <w:shd w:val="clear" w:color="auto" w:fill="FFFFFF"/>
        </w:rPr>
      </w:pPr>
      <w:r>
        <w:rPr>
          <w:rStyle w:val="8"/>
          <w:rFonts w:hint="eastAsia" w:ascii="仿宋_GB2312" w:hAnsi="仿宋_GB2312" w:eastAsia="仿宋_GB2312" w:cs="仿宋_GB2312"/>
          <w:color w:val="auto"/>
          <w:szCs w:val="32"/>
          <w:u w:val="none"/>
          <w:shd w:val="clear" w:color="auto" w:fill="FFFFFF"/>
        </w:rPr>
        <w:t>（三）制定开发利用或者保护水、土地、能源、矿产、生物等重要自然资源的重大公共政策和措施；</w:t>
      </w:r>
    </w:p>
    <w:p>
      <w:pPr>
        <w:keepNext w:val="0"/>
        <w:keepLines w:val="0"/>
        <w:pageBreakBefore w:val="0"/>
        <w:widowControl/>
        <w:shd w:val="clear" w:color="auto" w:fill="FFFFFF"/>
        <w:kinsoku/>
        <w:wordWrap/>
        <w:overflowPunct/>
        <w:topLinePunct w:val="0"/>
        <w:autoSpaceDE/>
        <w:autoSpaceDN/>
        <w:bidi w:val="0"/>
        <w:spacing w:line="520" w:lineRule="exact"/>
        <w:ind w:left="0" w:leftChars="0" w:right="0" w:rightChars="0" w:firstLine="632" w:firstLineChars="200"/>
        <w:jc w:val="left"/>
        <w:textAlignment w:val="auto"/>
        <w:outlineLvl w:val="9"/>
        <w:rPr>
          <w:rStyle w:val="8"/>
          <w:rFonts w:hint="eastAsia" w:ascii="仿宋_GB2312" w:hAnsi="仿宋_GB2312" w:eastAsia="仿宋_GB2312" w:cs="仿宋_GB2312"/>
          <w:color w:val="auto"/>
          <w:szCs w:val="32"/>
          <w:u w:val="none"/>
          <w:shd w:val="clear" w:color="auto" w:fill="FFFFFF"/>
        </w:rPr>
      </w:pPr>
      <w:r>
        <w:rPr>
          <w:rStyle w:val="8"/>
          <w:rFonts w:hint="eastAsia" w:ascii="仿宋_GB2312" w:hAnsi="仿宋_GB2312" w:eastAsia="仿宋_GB2312" w:cs="仿宋_GB2312"/>
          <w:color w:val="auto"/>
          <w:szCs w:val="32"/>
          <w:u w:val="none"/>
          <w:shd w:val="clear" w:color="auto" w:fill="FFFFFF"/>
        </w:rPr>
        <w:t>（四）制定开发利用或者保护历史文化街区、传统村落和传统民居、风景名胜区以及博物馆、美术馆、图书馆、文化馆等文化文物单位馆藏的文化资源的重大公共政策和措施；</w:t>
      </w:r>
    </w:p>
    <w:p>
      <w:pPr>
        <w:keepNext w:val="0"/>
        <w:keepLines w:val="0"/>
        <w:pageBreakBefore w:val="0"/>
        <w:widowControl/>
        <w:shd w:val="clear" w:color="auto" w:fill="FFFFFF"/>
        <w:kinsoku/>
        <w:wordWrap/>
        <w:overflowPunct/>
        <w:topLinePunct w:val="0"/>
        <w:autoSpaceDE/>
        <w:autoSpaceDN/>
        <w:bidi w:val="0"/>
        <w:spacing w:line="520" w:lineRule="exact"/>
        <w:ind w:left="0" w:leftChars="0" w:right="0" w:rightChars="0" w:firstLine="632" w:firstLineChars="200"/>
        <w:jc w:val="left"/>
        <w:textAlignment w:val="auto"/>
        <w:outlineLvl w:val="9"/>
        <w:rPr>
          <w:rStyle w:val="8"/>
          <w:rFonts w:hint="eastAsia" w:ascii="仿宋_GB2312" w:hAnsi="仿宋_GB2312" w:eastAsia="仿宋_GB2312" w:cs="仿宋_GB2312"/>
          <w:color w:val="auto"/>
          <w:szCs w:val="32"/>
          <w:u w:val="none"/>
          <w:shd w:val="clear" w:color="auto" w:fill="FFFFFF"/>
        </w:rPr>
      </w:pPr>
      <w:r>
        <w:rPr>
          <w:rStyle w:val="8"/>
          <w:rFonts w:hint="eastAsia" w:ascii="仿宋_GB2312" w:hAnsi="仿宋_GB2312" w:eastAsia="仿宋_GB2312" w:cs="仿宋_GB2312"/>
          <w:color w:val="auto"/>
          <w:szCs w:val="32"/>
          <w:u w:val="none"/>
          <w:shd w:val="clear" w:color="auto" w:fill="FFFFFF"/>
          <w:lang w:eastAsia="zh-CN"/>
        </w:rPr>
        <w:t>（五）</w:t>
      </w:r>
      <w:r>
        <w:rPr>
          <w:rStyle w:val="8"/>
          <w:rFonts w:hint="eastAsia" w:ascii="仿宋_GB2312" w:hAnsi="仿宋_GB2312" w:eastAsia="仿宋_GB2312" w:cs="仿宋_GB2312"/>
          <w:color w:val="auto"/>
          <w:szCs w:val="32"/>
          <w:u w:val="none"/>
          <w:shd w:val="clear" w:color="auto" w:fill="FFFFFF"/>
        </w:rPr>
        <w:t>决定本行政区域重大财政资金安排、重大</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"https://baike.baidu.com/item/%E5%9B%BD%E6%9C%89%E8%B5%84%E4%BA%A7%E5%A4%84%E7%BD%AE" \t "https://baike.baidu.com/item/%E5%B1%B1%E4%B8%9C%E7%9C%81%E8%A1%8C%E6%94%BF%E7%A8%8B%E5%BA%8F%E8%A7%84%E5%AE%9A/_blank" </w:instrText>
      </w:r>
      <w:r>
        <w:rPr>
          <w:rFonts w:hint="eastAsia" w:ascii="仿宋_GB2312" w:hAnsi="仿宋_GB2312" w:eastAsia="仿宋_GB2312" w:cs="仿宋_GB2312"/>
        </w:rPr>
        <w:fldChar w:fldCharType="separate"/>
      </w:r>
      <w:r>
        <w:rPr>
          <w:rStyle w:val="8"/>
          <w:rFonts w:hint="eastAsia" w:ascii="仿宋_GB2312" w:hAnsi="仿宋_GB2312" w:eastAsia="仿宋_GB2312" w:cs="仿宋_GB2312"/>
          <w:color w:val="auto"/>
          <w:szCs w:val="32"/>
          <w:u w:val="none"/>
          <w:shd w:val="clear" w:color="auto" w:fill="FFFFFF"/>
        </w:rPr>
        <w:t>国有资产</w:t>
      </w:r>
      <w:r>
        <w:rPr>
          <w:rStyle w:val="8"/>
          <w:rFonts w:hint="eastAsia" w:ascii="仿宋_GB2312" w:hAnsi="仿宋_GB2312" w:eastAsia="仿宋_GB2312" w:cs="仿宋_GB2312"/>
          <w:color w:val="auto"/>
          <w:szCs w:val="32"/>
          <w:u w:val="none"/>
          <w:shd w:val="clear" w:color="auto" w:fill="FFFFFF"/>
        </w:rPr>
        <w:fldChar w:fldCharType="end"/>
      </w:r>
      <w:r>
        <w:rPr>
          <w:rStyle w:val="8"/>
          <w:rFonts w:hint="eastAsia" w:ascii="仿宋_GB2312" w:hAnsi="仿宋_GB2312" w:eastAsia="仿宋_GB2312" w:cs="仿宋_GB2312"/>
          <w:color w:val="auto"/>
          <w:szCs w:val="32"/>
          <w:u w:val="none"/>
          <w:shd w:val="clear" w:color="auto" w:fill="FFFFFF"/>
        </w:rPr>
        <w:t>处置、重大政府投资项目和重大公共建设项目；</w:t>
      </w:r>
    </w:p>
    <w:p>
      <w:pPr>
        <w:keepNext w:val="0"/>
        <w:keepLines w:val="0"/>
        <w:pageBreakBefore w:val="0"/>
        <w:widowControl/>
        <w:shd w:val="clear" w:color="auto" w:fill="FFFFFF"/>
        <w:kinsoku/>
        <w:wordWrap/>
        <w:overflowPunct/>
        <w:topLinePunct w:val="0"/>
        <w:autoSpaceDE/>
        <w:autoSpaceDN/>
        <w:bidi w:val="0"/>
        <w:spacing w:line="520" w:lineRule="exact"/>
        <w:ind w:left="0" w:leftChars="0" w:right="0" w:rightChars="0" w:firstLine="632" w:firstLineChars="200"/>
        <w:jc w:val="left"/>
        <w:textAlignment w:val="auto"/>
        <w:outlineLvl w:val="9"/>
        <w:rPr>
          <w:rStyle w:val="8"/>
          <w:rFonts w:hint="eastAsia" w:ascii="仿宋_GB2312" w:hAnsi="仿宋_GB2312" w:eastAsia="仿宋_GB2312" w:cs="仿宋_GB2312"/>
          <w:color w:val="auto"/>
          <w:szCs w:val="32"/>
          <w:u w:val="none"/>
          <w:shd w:val="clear" w:color="auto" w:fill="FFFFFF"/>
        </w:rPr>
      </w:pPr>
      <w:r>
        <w:rPr>
          <w:rStyle w:val="8"/>
          <w:rFonts w:hint="eastAsia" w:ascii="仿宋_GB2312" w:hAnsi="仿宋_GB2312" w:eastAsia="仿宋_GB2312" w:cs="仿宋_GB2312"/>
          <w:color w:val="auto"/>
          <w:szCs w:val="32"/>
          <w:u w:val="none"/>
          <w:shd w:val="clear" w:color="auto" w:fill="FFFFFF"/>
          <w:lang w:eastAsia="zh-CN"/>
        </w:rPr>
        <w:t>（六）</w:t>
      </w:r>
      <w:r>
        <w:rPr>
          <w:rStyle w:val="8"/>
          <w:rFonts w:hint="eastAsia" w:ascii="仿宋_GB2312" w:hAnsi="仿宋_GB2312" w:eastAsia="仿宋_GB2312" w:cs="仿宋_GB2312"/>
          <w:color w:val="auto"/>
          <w:szCs w:val="32"/>
          <w:u w:val="none"/>
          <w:shd w:val="clear" w:color="auto" w:fill="FFFFFF"/>
        </w:rPr>
        <w:t>确定和调整重要的</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"https://baike.baidu.com/item/%E8%A1%8C%E6%94%BF%E4%BA%8B%E4%B8%9A%E6%80%A7%E6%94%B6%E8%B4%B9" \t "https://baike.baidu.com/item/%E5%B1%B1%E4%B8%9C%E7%9C%81%E8%A1%8C%E6%94%BF%E7%A8%8B%E5%BA%8F%E8%A7%84%E5%AE%9A/_blank" </w:instrText>
      </w:r>
      <w:r>
        <w:rPr>
          <w:rFonts w:hint="eastAsia" w:ascii="仿宋_GB2312" w:hAnsi="仿宋_GB2312" w:eastAsia="仿宋_GB2312" w:cs="仿宋_GB2312"/>
        </w:rPr>
        <w:fldChar w:fldCharType="separate"/>
      </w:r>
      <w:r>
        <w:rPr>
          <w:rStyle w:val="8"/>
          <w:rFonts w:hint="eastAsia" w:ascii="仿宋_GB2312" w:hAnsi="仿宋_GB2312" w:eastAsia="仿宋_GB2312" w:cs="仿宋_GB2312"/>
          <w:color w:val="auto"/>
          <w:szCs w:val="32"/>
          <w:u w:val="none"/>
          <w:shd w:val="clear" w:color="auto" w:fill="FFFFFF"/>
        </w:rPr>
        <w:t>行政事业性收费</w:t>
      </w:r>
      <w:r>
        <w:rPr>
          <w:rStyle w:val="8"/>
          <w:rFonts w:hint="eastAsia" w:ascii="仿宋_GB2312" w:hAnsi="仿宋_GB2312" w:eastAsia="仿宋_GB2312" w:cs="仿宋_GB2312"/>
          <w:color w:val="auto"/>
          <w:szCs w:val="32"/>
          <w:u w:val="none"/>
          <w:shd w:val="clear" w:color="auto" w:fill="FFFFFF"/>
        </w:rPr>
        <w:fldChar w:fldCharType="end"/>
      </w:r>
      <w:r>
        <w:rPr>
          <w:rStyle w:val="8"/>
          <w:rFonts w:hint="eastAsia" w:ascii="仿宋_GB2312" w:hAnsi="仿宋_GB2312" w:eastAsia="仿宋_GB2312" w:cs="仿宋_GB2312"/>
          <w:color w:val="auto"/>
          <w:szCs w:val="32"/>
          <w:u w:val="none"/>
          <w:shd w:val="clear" w:color="auto" w:fill="FFFFFF"/>
        </w:rPr>
        <w:t>以及</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"https://baike.baidu.com/item/%E6%94%BF%E5%BA%9C%E5%AE%9A%E4%BB%B7/4791218" \t "https://baike.baidu.com/item/%E5%B1%B1%E4%B8%9C%E7%9C%81%E8%A1%8C%E6%94%BF%E7%A8%8B%E5%BA%8F%E8%A7%84%E5%AE%9A/_blank" </w:instrText>
      </w:r>
      <w:r>
        <w:rPr>
          <w:rFonts w:hint="eastAsia" w:ascii="仿宋_GB2312" w:hAnsi="仿宋_GB2312" w:eastAsia="仿宋_GB2312" w:cs="仿宋_GB2312"/>
        </w:rPr>
        <w:fldChar w:fldCharType="separate"/>
      </w:r>
      <w:r>
        <w:rPr>
          <w:rStyle w:val="8"/>
          <w:rFonts w:hint="eastAsia" w:ascii="仿宋_GB2312" w:hAnsi="仿宋_GB2312" w:eastAsia="仿宋_GB2312" w:cs="仿宋_GB2312"/>
          <w:color w:val="auto"/>
          <w:szCs w:val="32"/>
          <w:u w:val="none"/>
          <w:shd w:val="clear" w:color="auto" w:fill="FFFFFF"/>
        </w:rPr>
        <w:t>政府定价</w:t>
      </w:r>
      <w:r>
        <w:rPr>
          <w:rStyle w:val="8"/>
          <w:rFonts w:hint="eastAsia" w:ascii="仿宋_GB2312" w:hAnsi="仿宋_GB2312" w:eastAsia="仿宋_GB2312" w:cs="仿宋_GB2312"/>
          <w:color w:val="auto"/>
          <w:szCs w:val="32"/>
          <w:u w:val="none"/>
          <w:shd w:val="clear" w:color="auto" w:fill="FFFFFF"/>
        </w:rPr>
        <w:fldChar w:fldCharType="end"/>
      </w:r>
      <w:r>
        <w:rPr>
          <w:rStyle w:val="8"/>
          <w:rFonts w:hint="eastAsia" w:ascii="仿宋_GB2312" w:hAnsi="仿宋_GB2312" w:eastAsia="仿宋_GB2312" w:cs="仿宋_GB2312"/>
          <w:color w:val="auto"/>
          <w:szCs w:val="32"/>
          <w:u w:val="none"/>
          <w:shd w:val="clear" w:color="auto" w:fill="FFFFFF"/>
        </w:rPr>
        <w:t>的重要商品、服务价格；</w:t>
      </w:r>
    </w:p>
    <w:p>
      <w:pPr>
        <w:keepNext w:val="0"/>
        <w:keepLines w:val="0"/>
        <w:pageBreakBefore w:val="0"/>
        <w:widowControl/>
        <w:shd w:val="clear" w:color="auto" w:fill="FFFFFF"/>
        <w:kinsoku/>
        <w:wordWrap/>
        <w:overflowPunct/>
        <w:topLinePunct w:val="0"/>
        <w:autoSpaceDE/>
        <w:autoSpaceDN/>
        <w:bidi w:val="0"/>
        <w:spacing w:line="520" w:lineRule="exact"/>
        <w:ind w:left="0" w:leftChars="0" w:right="0" w:rightChars="0" w:firstLine="632" w:firstLineChars="200"/>
        <w:jc w:val="left"/>
        <w:textAlignment w:val="auto"/>
        <w:outlineLvl w:val="9"/>
        <w:rPr>
          <w:rStyle w:val="8"/>
          <w:rFonts w:hint="eastAsia" w:ascii="仿宋_GB2312" w:hAnsi="仿宋_GB2312" w:eastAsia="仿宋_GB2312" w:cs="仿宋_GB2312"/>
          <w:color w:val="auto"/>
          <w:szCs w:val="32"/>
          <w:u w:val="none"/>
          <w:shd w:val="clear" w:color="auto" w:fill="FFFFFF"/>
        </w:rPr>
      </w:pPr>
      <w:r>
        <w:rPr>
          <w:rStyle w:val="8"/>
          <w:rFonts w:hint="eastAsia" w:ascii="仿宋_GB2312" w:hAnsi="仿宋_GB2312" w:eastAsia="仿宋_GB2312" w:cs="仿宋_GB2312"/>
          <w:color w:val="auto"/>
          <w:szCs w:val="32"/>
          <w:u w:val="none"/>
          <w:shd w:val="clear" w:color="auto" w:fill="FFFFFF"/>
          <w:lang w:eastAsia="zh-CN"/>
        </w:rPr>
        <w:t>（七）</w:t>
      </w:r>
      <w:r>
        <w:rPr>
          <w:rStyle w:val="8"/>
          <w:rFonts w:hint="eastAsia" w:ascii="仿宋_GB2312" w:hAnsi="仿宋_GB2312" w:eastAsia="仿宋_GB2312" w:cs="仿宋_GB2312"/>
          <w:color w:val="auto"/>
          <w:szCs w:val="32"/>
          <w:u w:val="none"/>
          <w:shd w:val="clear" w:color="auto" w:fill="FFFFFF"/>
        </w:rPr>
        <w:t>制定</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"https://baike.baidu.com/item/%E8%A1%8C%E6%94%BF%E7%AE%A1%E7%90%86%E4%BD%93%E5%88%B6%E6%94%B9%E9%9D%A9/12012939" \t "https://baike.baidu.com/item/%E5%B1%B1%E4%B8%9C%E7%9C%81%E8%A1%8C%E6%94%BF%E7%A8%8B%E5%BA%8F%E8%A7%84%E5%AE%9A/_blank" </w:instrText>
      </w:r>
      <w:r>
        <w:rPr>
          <w:rFonts w:hint="eastAsia" w:ascii="仿宋_GB2312" w:hAnsi="仿宋_GB2312" w:eastAsia="仿宋_GB2312" w:cs="仿宋_GB2312"/>
        </w:rPr>
        <w:fldChar w:fldCharType="separate"/>
      </w:r>
      <w:r>
        <w:rPr>
          <w:rStyle w:val="8"/>
          <w:rFonts w:hint="eastAsia" w:ascii="仿宋_GB2312" w:hAnsi="仿宋_GB2312" w:eastAsia="仿宋_GB2312" w:cs="仿宋_GB2312"/>
          <w:color w:val="auto"/>
          <w:szCs w:val="32"/>
          <w:u w:val="none"/>
          <w:shd w:val="clear" w:color="auto" w:fill="FFFFFF"/>
        </w:rPr>
        <w:t>行政管理体制改革</w:t>
      </w:r>
      <w:r>
        <w:rPr>
          <w:rStyle w:val="8"/>
          <w:rFonts w:hint="eastAsia" w:ascii="仿宋_GB2312" w:hAnsi="仿宋_GB2312" w:eastAsia="仿宋_GB2312" w:cs="仿宋_GB2312"/>
          <w:color w:val="auto"/>
          <w:szCs w:val="32"/>
          <w:u w:val="none"/>
          <w:shd w:val="clear" w:color="auto" w:fill="FFFFFF"/>
        </w:rPr>
        <w:fldChar w:fldCharType="end"/>
      </w:r>
      <w:r>
        <w:rPr>
          <w:rStyle w:val="8"/>
          <w:rFonts w:hint="eastAsia" w:ascii="仿宋_GB2312" w:hAnsi="仿宋_GB2312" w:eastAsia="仿宋_GB2312" w:cs="仿宋_GB2312"/>
          <w:color w:val="auto"/>
          <w:szCs w:val="32"/>
          <w:u w:val="none"/>
          <w:shd w:val="clear" w:color="auto" w:fill="FFFFFF"/>
        </w:rPr>
        <w:t>的重大措施；</w:t>
      </w:r>
    </w:p>
    <w:p>
      <w:pPr>
        <w:keepNext w:val="0"/>
        <w:keepLines w:val="0"/>
        <w:pageBreakBefore w:val="0"/>
        <w:widowControl/>
        <w:shd w:val="clear" w:color="auto" w:fill="FFFFFF"/>
        <w:kinsoku/>
        <w:wordWrap/>
        <w:overflowPunct/>
        <w:topLinePunct w:val="0"/>
        <w:autoSpaceDE/>
        <w:autoSpaceDN/>
        <w:bidi w:val="0"/>
        <w:spacing w:line="520" w:lineRule="exact"/>
        <w:ind w:left="0" w:leftChars="0" w:right="0" w:rightChars="0" w:firstLine="632" w:firstLineChars="200"/>
        <w:jc w:val="left"/>
        <w:textAlignment w:val="auto"/>
        <w:outlineLvl w:val="9"/>
        <w:rPr>
          <w:rStyle w:val="8"/>
          <w:rFonts w:hint="eastAsia" w:ascii="仿宋_GB2312" w:hAnsi="仿宋_GB2312" w:eastAsia="仿宋_GB2312" w:cs="仿宋_GB2312"/>
          <w:color w:val="auto"/>
          <w:szCs w:val="32"/>
          <w:u w:val="none"/>
          <w:shd w:val="clear" w:color="auto" w:fill="FFFFFF"/>
        </w:rPr>
      </w:pPr>
      <w:r>
        <w:rPr>
          <w:rStyle w:val="8"/>
          <w:rFonts w:hint="eastAsia" w:ascii="仿宋_GB2312" w:hAnsi="仿宋_GB2312" w:eastAsia="仿宋_GB2312" w:cs="仿宋_GB2312"/>
          <w:color w:val="auto"/>
          <w:szCs w:val="32"/>
          <w:u w:val="none"/>
          <w:shd w:val="clear" w:color="auto" w:fill="FFFFFF"/>
          <w:lang w:eastAsia="zh-CN"/>
        </w:rPr>
        <w:t>（八）</w:t>
      </w:r>
      <w:r>
        <w:rPr>
          <w:rStyle w:val="8"/>
          <w:rFonts w:hint="eastAsia" w:ascii="仿宋_GB2312" w:hAnsi="仿宋_GB2312" w:eastAsia="仿宋_GB2312" w:cs="仿宋_GB2312"/>
          <w:color w:val="auto"/>
          <w:szCs w:val="32"/>
          <w:u w:val="none"/>
          <w:shd w:val="clear" w:color="auto" w:fill="FFFFFF"/>
        </w:rPr>
        <w:t>决定对经济社会发展有重大影响、涉及重大公共利益或者社会公众切身利益的其他重大事项。</w:t>
      </w:r>
    </w:p>
    <w:p>
      <w:pPr>
        <w:keepNext w:val="0"/>
        <w:keepLines w:val="0"/>
        <w:pageBreakBefore w:val="0"/>
        <w:widowControl/>
        <w:shd w:val="clear" w:color="auto" w:fill="FFFFFF"/>
        <w:kinsoku/>
        <w:wordWrap/>
        <w:overflowPunct/>
        <w:topLinePunct w:val="0"/>
        <w:autoSpaceDE/>
        <w:autoSpaceDN/>
        <w:bidi w:val="0"/>
        <w:spacing w:line="560" w:lineRule="exact"/>
        <w:ind w:left="0" w:leftChars="0" w:right="0" w:rightChars="0" w:firstLine="632" w:firstLineChars="200"/>
        <w:jc w:val="left"/>
        <w:textAlignment w:val="auto"/>
        <w:outlineLvl w:val="9"/>
        <w:rPr>
          <w:rFonts w:hint="eastAsia" w:ascii="仿宋_GB2312" w:hAnsi="仿宋_GB2312" w:eastAsia="仿宋_GB2312" w:cs="仿宋_GB2312"/>
          <w:kern w:val="0"/>
          <w:szCs w:val="32"/>
        </w:rPr>
      </w:pPr>
      <w:r>
        <w:rPr>
          <w:rStyle w:val="8"/>
          <w:rFonts w:hint="eastAsia" w:ascii="仿宋_GB2312" w:hAnsi="仿宋_GB2312" w:eastAsia="仿宋_GB2312" w:cs="仿宋_GB2312"/>
          <w:color w:val="auto"/>
          <w:szCs w:val="32"/>
          <w:u w:val="none"/>
          <w:shd w:val="clear" w:color="auto" w:fill="FFFFFF"/>
        </w:rPr>
        <w:t>法律、法规对前款规定事项的决策程序另有规定的，依照其规定。宏观调控决策、地方性法规草案的拟订和政府规章的制定、突发事件应急处置决策以及政府内部事务管理决策，不适用本规定。</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632" w:firstLineChars="200"/>
        <w:textAlignment w:val="auto"/>
        <w:outlineLvl w:val="9"/>
        <w:rPr>
          <w:rFonts w:hint="eastAsia" w:ascii="仿宋_GB2312" w:hAnsi="仿宋_GB2312" w:eastAsia="仿宋_GB2312" w:cs="仿宋_GB2312"/>
          <w:color w:val="000000" w:themeColor="text1"/>
          <w:sz w:val="32"/>
          <w:szCs w:val="32"/>
        </w:rPr>
      </w:pPr>
      <w:r>
        <w:rPr>
          <w:rFonts w:hint="eastAsia" w:ascii="黑体" w:hAnsi="黑体" w:eastAsia="黑体" w:cs="黑体"/>
          <w:sz w:val="32"/>
          <w:szCs w:val="32"/>
        </w:rPr>
        <w:t>第四条</w:t>
      </w:r>
      <w:r>
        <w:rPr>
          <w:rFonts w:hint="eastAsia" w:ascii="楷体" w:hAnsi="楷体" w:eastAsia="楷体" w:cs="宋体"/>
          <w:sz w:val="32"/>
          <w:szCs w:val="32"/>
        </w:rPr>
        <w:t xml:space="preserve"> 【决策事项目录清单】 </w:t>
      </w:r>
      <w:r>
        <w:rPr>
          <w:rFonts w:hint="eastAsia" w:ascii="仿宋_GB2312" w:hAnsi="仿宋_GB2312" w:eastAsia="仿宋_GB2312" w:cs="仿宋_GB2312"/>
          <w:color w:val="000000" w:themeColor="text1"/>
          <w:sz w:val="32"/>
          <w:szCs w:val="32"/>
        </w:rPr>
        <w:t>重大行政决策事项（以下简称决策事项）实行目录清单管理。</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632"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决策机关办公厅（室）应当根据本规定第三条规定，结合本地实际，于每年第一季度组织编制年度决策事项清单目录，报决策机关研究确定，经同级党委同意后向社会公布，并根据实际情况及时进行调整。清单目录包括决策事项名称、承办单位、完成时间等内容。</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rPr>
        <w:t>决策机关办公厅（室）编制年度决策事项清单目录时，可以向社会公开征集决策事项项目建议。</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kern w:val="0"/>
          <w:szCs w:val="32"/>
        </w:rPr>
      </w:pPr>
      <w:r>
        <w:rPr>
          <w:rFonts w:hint="eastAsia" w:ascii="黑体" w:hAnsi="黑体" w:eastAsia="黑体" w:cs="黑体"/>
          <w:kern w:val="0"/>
          <w:szCs w:val="32"/>
        </w:rPr>
        <w:t>第五条</w:t>
      </w:r>
      <w:r>
        <w:rPr>
          <w:rFonts w:hint="eastAsia" w:ascii="楷体" w:hAnsi="楷体" w:eastAsia="楷体" w:cs="宋体"/>
          <w:kern w:val="0"/>
          <w:szCs w:val="32"/>
        </w:rPr>
        <w:t xml:space="preserve">【党的全面领导原则】 </w:t>
      </w:r>
      <w:r>
        <w:rPr>
          <w:rFonts w:hint="eastAsia" w:ascii="仿宋_GB2312" w:hAnsi="仿宋_GB2312" w:eastAsia="仿宋_GB2312" w:cs="仿宋_GB2312"/>
          <w:kern w:val="0"/>
          <w:szCs w:val="32"/>
        </w:rPr>
        <w:t>重大行政决策必须坚持和加强党的全面领导，全面贯彻党的路线方针政策和决策部署，发挥党的领导核心作用，把党的领导贯彻到重大行政决策全过程。</w:t>
      </w:r>
      <w:bookmarkStart w:id="1" w:name="4"/>
    </w:p>
    <w:bookmarkEnd w:id="1"/>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kern w:val="0"/>
          <w:szCs w:val="32"/>
        </w:rPr>
      </w:pPr>
      <w:r>
        <w:rPr>
          <w:rFonts w:hint="eastAsia" w:ascii="黑体" w:hAnsi="黑体" w:eastAsia="黑体" w:cs="黑体"/>
          <w:kern w:val="0"/>
          <w:szCs w:val="32"/>
        </w:rPr>
        <w:t>第六条</w:t>
      </w:r>
      <w:r>
        <w:rPr>
          <w:rFonts w:hint="eastAsia" w:ascii="楷体" w:hAnsi="楷体" w:eastAsia="楷体" w:cs="宋体"/>
          <w:kern w:val="0"/>
          <w:szCs w:val="32"/>
        </w:rPr>
        <w:t xml:space="preserve">【科学民主依法决策原则】 </w:t>
      </w:r>
      <w:r>
        <w:rPr>
          <w:rFonts w:hint="eastAsia" w:ascii="仿宋_GB2312" w:hAnsi="仿宋_GB2312" w:eastAsia="仿宋_GB2312" w:cs="仿宋_GB2312"/>
          <w:kern w:val="0"/>
          <w:szCs w:val="32"/>
        </w:rPr>
        <w:t xml:space="preserve">作出重大行政决策应当遵循科学、民主、依法决策原则，坚持从实际出发，尊重客观规律，充分听取各方面意见，保障人民群众通过多种途径和形式参与决策，严格遵守法定权限和法定程序，保证决策内容符合法律、法规、规章和政策等规定。 </w:t>
      </w:r>
    </w:p>
    <w:p>
      <w:pPr>
        <w:keepNext w:val="0"/>
        <w:keepLines w:val="0"/>
        <w:pageBreakBefore w:val="0"/>
        <w:widowControl/>
        <w:kinsoku/>
        <w:wordWrap/>
        <w:overflowPunct/>
        <w:topLinePunct w:val="0"/>
        <w:autoSpaceDE/>
        <w:autoSpaceDN/>
        <w:bidi w:val="0"/>
        <w:spacing w:line="560" w:lineRule="exact"/>
        <w:ind w:left="0" w:leftChars="0" w:right="0" w:rightChars="0" w:firstLine="632" w:firstLineChars="200"/>
        <w:jc w:val="left"/>
        <w:textAlignment w:val="auto"/>
        <w:outlineLvl w:val="9"/>
        <w:rPr>
          <w:rFonts w:hint="eastAsia" w:ascii="仿宋_GB2312" w:hAnsi="仿宋_GB2312" w:eastAsia="仿宋_GB2312" w:cs="仿宋_GB2312"/>
          <w:kern w:val="0"/>
          <w:szCs w:val="32"/>
        </w:rPr>
      </w:pPr>
      <w:r>
        <w:rPr>
          <w:rFonts w:hint="eastAsia" w:ascii="黑体" w:hAnsi="黑体" w:eastAsia="黑体" w:cs="黑体"/>
          <w:kern w:val="0"/>
          <w:szCs w:val="32"/>
        </w:rPr>
        <w:t xml:space="preserve">第七条 </w:t>
      </w:r>
      <w:r>
        <w:rPr>
          <w:rFonts w:hint="eastAsia" w:ascii="仿宋" w:hAnsi="仿宋" w:cs="仿宋"/>
          <w:kern w:val="0"/>
          <w:szCs w:val="32"/>
        </w:rPr>
        <w:t>【</w:t>
      </w:r>
      <w:r>
        <w:rPr>
          <w:rFonts w:hint="eastAsia" w:ascii="楷体" w:hAnsi="楷体" w:eastAsia="楷体" w:cs="宋体"/>
          <w:kern w:val="0"/>
          <w:szCs w:val="32"/>
        </w:rPr>
        <w:t>决策公开原则</w:t>
      </w:r>
      <w:r>
        <w:rPr>
          <w:rFonts w:hint="eastAsia" w:ascii="仿宋" w:hAnsi="仿宋" w:cs="仿宋"/>
          <w:kern w:val="0"/>
          <w:szCs w:val="32"/>
        </w:rPr>
        <w:t>】</w:t>
      </w:r>
      <w:r>
        <w:rPr>
          <w:rFonts w:hint="eastAsia" w:ascii="仿宋_GB2312" w:hAnsi="仿宋_GB2312" w:eastAsia="仿宋_GB2312" w:cs="仿宋_GB2312"/>
          <w:kern w:val="0"/>
          <w:szCs w:val="32"/>
        </w:rPr>
        <w:t xml:space="preserve"> 作出重大行政决策应当遵循公开原则，除依法应当保密的外，决策事项、依据和结果应当及时公开。</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kern w:val="0"/>
          <w:szCs w:val="32"/>
        </w:rPr>
      </w:pPr>
      <w:r>
        <w:rPr>
          <w:rFonts w:hint="eastAsia" w:ascii="黑体" w:hAnsi="宋体" w:eastAsia="黑体" w:cs="宋体"/>
          <w:kern w:val="0"/>
          <w:szCs w:val="32"/>
        </w:rPr>
        <w:t>第八条【</w:t>
      </w:r>
      <w:r>
        <w:rPr>
          <w:rFonts w:hint="eastAsia" w:ascii="楷体" w:hAnsi="楷体" w:eastAsia="楷体" w:cs="宋体"/>
          <w:kern w:val="0"/>
          <w:szCs w:val="32"/>
        </w:rPr>
        <w:t>政府职责</w:t>
      </w:r>
      <w:r>
        <w:rPr>
          <w:rFonts w:hint="eastAsia" w:ascii="黑体" w:hAnsi="宋体" w:eastAsia="黑体" w:cs="宋体"/>
          <w:kern w:val="0"/>
          <w:szCs w:val="32"/>
        </w:rPr>
        <w:t xml:space="preserve">】 </w:t>
      </w:r>
      <w:r>
        <w:rPr>
          <w:rFonts w:hint="eastAsia" w:ascii="仿宋_GB2312" w:hAnsi="仿宋_GB2312" w:eastAsia="仿宋_GB2312" w:cs="仿宋_GB2312"/>
          <w:kern w:val="0"/>
          <w:szCs w:val="32"/>
        </w:rPr>
        <w:t>决策机关应当健全重大行政决策制度机制，加强决策智库建设，利用大数据、云计算和人工智能等技术提升决策信息化水平，并对开展重大行政决策工作所需经费予以保障。</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kern w:val="0"/>
          <w:szCs w:val="32"/>
        </w:rPr>
      </w:pPr>
      <w:r>
        <w:rPr>
          <w:rFonts w:hint="eastAsia" w:ascii="黑体" w:hAnsi="黑体" w:eastAsia="黑体" w:cs="黑体"/>
          <w:kern w:val="0"/>
          <w:szCs w:val="32"/>
        </w:rPr>
        <w:t>第九条</w:t>
      </w:r>
      <w:r>
        <w:rPr>
          <w:rFonts w:hint="eastAsia" w:ascii="楷体" w:hAnsi="楷体" w:eastAsia="楷体" w:cs="宋体"/>
          <w:kern w:val="0"/>
          <w:szCs w:val="32"/>
        </w:rPr>
        <w:t>【管理体制】</w:t>
      </w:r>
      <w:r>
        <w:rPr>
          <w:rFonts w:hint="eastAsia" w:ascii="仿宋_GB2312" w:hAnsi="仿宋_GB2312" w:eastAsia="仿宋_GB2312" w:cs="仿宋_GB2312"/>
          <w:kern w:val="0"/>
          <w:szCs w:val="32"/>
        </w:rPr>
        <w:t xml:space="preserve"> 决策机关办公厅（室）负责本行政区域重大行政决策工作的组织协调、指导和监督。</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rPr>
        <w:t>司法行政机关负责重大行政决策合法性审查工作。</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rPr>
        <w:t>决策机关相关部门按照职责权限负责重大行政决策草案拟定、执行和后评估等工作。</w:t>
      </w:r>
    </w:p>
    <w:p>
      <w:pPr>
        <w:keepNext w:val="0"/>
        <w:keepLines w:val="0"/>
        <w:pageBreakBefore w:val="0"/>
        <w:widowControl/>
        <w:kinsoku/>
        <w:wordWrap/>
        <w:overflowPunct/>
        <w:topLinePunct w:val="0"/>
        <w:autoSpaceDE/>
        <w:autoSpaceDN/>
        <w:bidi w:val="0"/>
        <w:spacing w:line="560" w:lineRule="exact"/>
        <w:ind w:left="0" w:leftChars="0" w:right="0" w:rightChars="0" w:firstLine="632" w:firstLineChars="200"/>
        <w:jc w:val="left"/>
        <w:textAlignment w:val="auto"/>
        <w:outlineLvl w:val="9"/>
        <w:rPr>
          <w:rFonts w:hint="eastAsia" w:ascii="仿宋_GB2312" w:hAnsi="仿宋_GB2312" w:eastAsia="仿宋_GB2312" w:cs="仿宋_GB2312"/>
          <w:szCs w:val="32"/>
        </w:rPr>
      </w:pPr>
      <w:r>
        <w:rPr>
          <w:rFonts w:hint="eastAsia" w:ascii="黑体" w:hAnsi="黑体" w:eastAsia="黑体" w:cs="黑体"/>
          <w:szCs w:val="32"/>
        </w:rPr>
        <w:t>第十条【</w:t>
      </w:r>
      <w:r>
        <w:rPr>
          <w:rFonts w:hint="eastAsia" w:ascii="楷体" w:hAnsi="楷体" w:eastAsia="楷体" w:cs="楷体"/>
          <w:szCs w:val="32"/>
        </w:rPr>
        <w:t>监督</w:t>
      </w:r>
      <w:r>
        <w:rPr>
          <w:rFonts w:hint="eastAsia" w:ascii="黑体" w:hAnsi="黑体" w:eastAsia="黑体" w:cs="黑体"/>
          <w:szCs w:val="32"/>
        </w:rPr>
        <w:t xml:space="preserve">】 </w:t>
      </w:r>
      <w:r>
        <w:rPr>
          <w:rFonts w:hint="eastAsia" w:ascii="仿宋_GB2312" w:hAnsi="仿宋_GB2312" w:eastAsia="仿宋_GB2312" w:cs="仿宋_GB2312"/>
          <w:szCs w:val="32"/>
        </w:rPr>
        <w:t>重大行政决策依法接受本级人民代表大会及其常务委员会的监督、政协的民主监督和人民群众的监督。</w:t>
      </w:r>
    </w:p>
    <w:p>
      <w:pPr>
        <w:keepNext w:val="0"/>
        <w:keepLines w:val="0"/>
        <w:pageBreakBefore w:val="0"/>
        <w:widowControl/>
        <w:kinsoku/>
        <w:wordWrap/>
        <w:overflowPunct/>
        <w:topLinePunct w:val="0"/>
        <w:autoSpaceDE/>
        <w:autoSpaceDN/>
        <w:bidi w:val="0"/>
        <w:spacing w:line="560" w:lineRule="exact"/>
        <w:ind w:left="0" w:leftChars="0" w:right="0" w:rightChars="0" w:firstLine="632" w:firstLineChars="200"/>
        <w:jc w:val="left"/>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color w:val="000000"/>
          <w:kern w:val="0"/>
          <w:szCs w:val="32"/>
        </w:rPr>
        <w:t>县级以上人民政府应当建立重大行政决策终身责任追究制度和责任倒查机制,并</w:t>
      </w:r>
      <w:r>
        <w:rPr>
          <w:rFonts w:hint="eastAsia" w:ascii="仿宋_GB2312" w:hAnsi="仿宋_GB2312" w:eastAsia="仿宋_GB2312" w:cs="仿宋_GB2312"/>
          <w:szCs w:val="32"/>
        </w:rPr>
        <w:t>加强对下级人民政府重大行政决策的监督。</w:t>
      </w:r>
    </w:p>
    <w:p>
      <w:pPr>
        <w:keepNext w:val="0"/>
        <w:keepLines w:val="0"/>
        <w:pageBreakBefore w:val="0"/>
        <w:widowControl/>
        <w:kinsoku/>
        <w:wordWrap/>
        <w:overflowPunct/>
        <w:topLinePunct w:val="0"/>
        <w:autoSpaceDE/>
        <w:autoSpaceDN/>
        <w:bidi w:val="0"/>
        <w:spacing w:line="560" w:lineRule="exact"/>
        <w:ind w:left="0" w:leftChars="0" w:right="0" w:rightChars="0" w:firstLine="632" w:firstLineChars="200"/>
        <w:jc w:val="left"/>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审计机关依法对重大行政决策实施监督。</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kern w:val="0"/>
          <w:szCs w:val="32"/>
        </w:rPr>
      </w:pPr>
      <w:r>
        <w:rPr>
          <w:rFonts w:hint="eastAsia" w:ascii="黑体" w:hAnsi="黑体" w:eastAsia="黑体" w:cs="黑体"/>
          <w:kern w:val="0"/>
          <w:szCs w:val="32"/>
        </w:rPr>
        <w:t>第十一条</w:t>
      </w:r>
      <w:r>
        <w:rPr>
          <w:rFonts w:hint="eastAsia" w:ascii="楷体" w:hAnsi="楷体" w:eastAsia="楷体" w:cs="宋体"/>
          <w:kern w:val="0"/>
          <w:szCs w:val="32"/>
        </w:rPr>
        <w:t>【考核评价】</w:t>
      </w:r>
      <w:r>
        <w:rPr>
          <w:rFonts w:hint="eastAsia" w:ascii="仿宋_GB2312" w:hAnsi="仿宋_GB2312" w:eastAsia="仿宋_GB2312" w:cs="仿宋_GB2312"/>
          <w:kern w:val="0"/>
          <w:szCs w:val="32"/>
        </w:rPr>
        <w:t xml:space="preserve"> 重大行政决策的</w:t>
      </w:r>
      <w:r>
        <w:rPr>
          <w:rFonts w:hint="eastAsia" w:ascii="仿宋_GB2312" w:hAnsi="仿宋_GB2312" w:eastAsia="仿宋_GB2312" w:cs="仿宋_GB2312"/>
          <w:szCs w:val="32"/>
        </w:rPr>
        <w:t>科学化、民主化、法治化</w:t>
      </w:r>
      <w:r>
        <w:rPr>
          <w:rFonts w:hint="eastAsia" w:ascii="仿宋_GB2312" w:hAnsi="仿宋_GB2312" w:eastAsia="仿宋_GB2312" w:cs="仿宋_GB2312"/>
          <w:kern w:val="0"/>
          <w:szCs w:val="32"/>
        </w:rPr>
        <w:t>情况应当纳入本地法治政府建设规划，作为法治政府建设评价指标体系和考核评价决策机关及其领导人员的重要内容。</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jc w:val="center"/>
        <w:textAlignment w:val="auto"/>
        <w:outlineLvl w:val="9"/>
        <w:rPr>
          <w:rFonts w:hint="eastAsia" w:ascii="仿宋_GB2312" w:hAnsi="仿宋_GB2312" w:eastAsia="仿宋_GB2312" w:cs="仿宋_GB2312"/>
          <w:kern w:val="0"/>
          <w:szCs w:val="32"/>
        </w:rPr>
      </w:pPr>
    </w:p>
    <w:p>
      <w:pPr>
        <w:keepNext w:val="0"/>
        <w:keepLines w:val="0"/>
        <w:pageBreakBefore w:val="0"/>
        <w:widowControl/>
        <w:numPr>
          <w:ilvl w:val="0"/>
          <w:numId w:val="1"/>
        </w:numPr>
        <w:shd w:val="clear" w:color="auto" w:fill="FFFFFF"/>
        <w:tabs>
          <w:tab w:val="left" w:pos="4654"/>
        </w:tabs>
        <w:kinsoku/>
        <w:wordWrap/>
        <w:overflowPunct/>
        <w:topLinePunct w:val="0"/>
        <w:autoSpaceDE/>
        <w:autoSpaceDN/>
        <w:bidi w:val="0"/>
        <w:adjustRightInd w:val="0"/>
        <w:snapToGrid w:val="0"/>
        <w:spacing w:line="560" w:lineRule="exact"/>
        <w:ind w:left="0" w:leftChars="0" w:right="0" w:rightChars="0" w:firstLine="632" w:firstLineChars="200"/>
        <w:jc w:val="center"/>
        <w:textAlignment w:val="auto"/>
        <w:outlineLvl w:val="9"/>
        <w:rPr>
          <w:rFonts w:ascii="宋体" w:hAnsi="宋体" w:eastAsia="宋体" w:cs="宋体"/>
          <w:b/>
          <w:kern w:val="0"/>
          <w:szCs w:val="32"/>
        </w:rPr>
      </w:pPr>
      <w:r>
        <w:rPr>
          <w:rFonts w:hint="eastAsia" w:ascii="宋体" w:hAnsi="宋体" w:eastAsia="宋体" w:cs="宋体"/>
          <w:b/>
          <w:kern w:val="0"/>
          <w:szCs w:val="32"/>
        </w:rPr>
        <w:t>　决策草案的形成</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632" w:firstLineChars="200"/>
        <w:jc w:val="center"/>
        <w:textAlignment w:val="auto"/>
        <w:outlineLvl w:val="9"/>
        <w:rPr>
          <w:rFonts w:ascii="楷体" w:hAnsi="楷体" w:eastAsia="楷体" w:cs="楷体"/>
          <w:bCs/>
          <w:sz w:val="32"/>
          <w:szCs w:val="32"/>
        </w:rPr>
      </w:pP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632" w:firstLineChars="200"/>
        <w:jc w:val="center"/>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第一节  决策启动</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632" w:firstLineChars="200"/>
        <w:jc w:val="both"/>
        <w:textAlignment w:val="auto"/>
        <w:outlineLvl w:val="9"/>
        <w:rPr>
          <w:rFonts w:ascii="楷体" w:hAnsi="楷体" w:eastAsia="楷体" w:cs="楷体"/>
          <w:bCs/>
          <w:sz w:val="32"/>
          <w:szCs w:val="32"/>
        </w:rPr>
      </w:pP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632" w:firstLineChars="200"/>
        <w:textAlignment w:val="auto"/>
        <w:outlineLvl w:val="9"/>
        <w:rPr>
          <w:rFonts w:hint="eastAsia" w:ascii="仿宋_GB2312" w:hAnsi="仿宋_GB2312" w:eastAsia="仿宋_GB2312" w:cs="仿宋_GB2312"/>
          <w:sz w:val="32"/>
          <w:szCs w:val="32"/>
          <w:u w:val="single"/>
        </w:rPr>
      </w:pPr>
      <w:r>
        <w:rPr>
          <w:rFonts w:hint="eastAsia" w:ascii="黑体" w:hAnsi="黑体" w:eastAsia="黑体" w:cs="黑体"/>
          <w:sz w:val="32"/>
          <w:szCs w:val="32"/>
        </w:rPr>
        <w:t>第十二条</w:t>
      </w:r>
      <w:r>
        <w:rPr>
          <w:rFonts w:hint="eastAsia" w:ascii="楷体" w:hAnsi="楷体" w:eastAsia="楷体"/>
          <w:sz w:val="32"/>
          <w:szCs w:val="32"/>
        </w:rPr>
        <w:t xml:space="preserve"> 【报请启动决策】 </w:t>
      </w:r>
      <w:r>
        <w:rPr>
          <w:rFonts w:hint="eastAsia" w:ascii="仿宋_GB2312" w:hAnsi="仿宋_GB2312" w:eastAsia="仿宋_GB2312" w:cs="仿宋_GB2312"/>
          <w:sz w:val="32"/>
          <w:szCs w:val="32"/>
        </w:rPr>
        <w:t>对各方面提出的决策事项建议，按照下列规定进行研究论证后，报请决策机关决定是否启动决策程序：</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（一）决策机关领导人员提出决策事项建议的，由决策机关</w:t>
      </w:r>
      <w:r>
        <w:rPr>
          <w:rFonts w:hint="eastAsia" w:ascii="仿宋_GB2312" w:hAnsi="仿宋_GB2312" w:eastAsia="仿宋_GB2312" w:cs="仿宋_GB2312"/>
          <w:color w:val="000000" w:themeColor="text1"/>
          <w:sz w:val="32"/>
          <w:szCs w:val="32"/>
        </w:rPr>
        <w:t>办公厅（室）或者</w:t>
      </w:r>
      <w:r>
        <w:rPr>
          <w:rFonts w:hint="eastAsia" w:ascii="仿宋_GB2312" w:hAnsi="仿宋_GB2312" w:eastAsia="仿宋_GB2312" w:cs="仿宋_GB2312"/>
          <w:sz w:val="32"/>
          <w:szCs w:val="32"/>
        </w:rPr>
        <w:t>有关单位研究论证；</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color w:val="000000" w:themeColor="text1"/>
          <w:sz w:val="32"/>
          <w:szCs w:val="32"/>
        </w:rPr>
        <w:t>决策机关办公厅（室）</w:t>
      </w:r>
      <w:r>
        <w:rPr>
          <w:rFonts w:hint="eastAsia" w:ascii="仿宋_GB2312" w:hAnsi="仿宋_GB2312" w:eastAsia="仿宋_GB2312" w:cs="仿宋_GB2312"/>
          <w:sz w:val="32"/>
          <w:szCs w:val="32"/>
        </w:rPr>
        <w:t>、所属部门或者下一级人民政府向决策机关提出决策事项建议的，由建议提出机关组织研究论证；　　</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（三）人大代表、政协委员通过议案、建议、提案方式提出决策事项建议的，由议案、建议、提案承办单位研究论证；</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（四）公民、法人或者其他组织提出书面决策事项建议的，由决策机关</w:t>
      </w:r>
      <w:r>
        <w:rPr>
          <w:rFonts w:hint="eastAsia" w:ascii="仿宋_GB2312" w:hAnsi="仿宋_GB2312" w:eastAsia="仿宋_GB2312" w:cs="仿宋_GB2312"/>
          <w:color w:val="000000" w:themeColor="text1"/>
          <w:sz w:val="32"/>
          <w:szCs w:val="32"/>
        </w:rPr>
        <w:t>办公厅（室）或者有关单位研究论证。</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对前款决策事项建议进行研究论证的，应当论证拟解决的主要问题、建议理由和依据、解决问题的初步方案及其必要性、可行性等。</w:t>
      </w:r>
    </w:p>
    <w:p>
      <w:pPr>
        <w:keepNext w:val="0"/>
        <w:keepLines w:val="0"/>
        <w:pageBreakBefore w:val="0"/>
        <w:widowControl/>
        <w:kinsoku/>
        <w:wordWrap/>
        <w:overflowPunct/>
        <w:topLinePunct w:val="0"/>
        <w:autoSpaceDE/>
        <w:autoSpaceDN/>
        <w:bidi w:val="0"/>
        <w:spacing w:line="560" w:lineRule="exact"/>
        <w:ind w:left="0" w:leftChars="0" w:right="0" w:rightChars="0" w:firstLine="632" w:firstLineChars="200"/>
        <w:jc w:val="left"/>
        <w:textAlignment w:val="auto"/>
        <w:outlineLvl w:val="9"/>
        <w:rPr>
          <w:rFonts w:hint="eastAsia" w:ascii="仿宋_GB2312" w:hAnsi="仿宋_GB2312" w:eastAsia="仿宋_GB2312" w:cs="仿宋_GB2312"/>
          <w:kern w:val="0"/>
          <w:szCs w:val="32"/>
        </w:rPr>
      </w:pPr>
      <w:r>
        <w:rPr>
          <w:rFonts w:hint="eastAsia" w:ascii="黑体" w:hAnsi="黑体" w:eastAsia="黑体" w:cs="黑体"/>
          <w:szCs w:val="32"/>
        </w:rPr>
        <w:t>第十三条</w:t>
      </w:r>
      <w:r>
        <w:rPr>
          <w:rFonts w:hint="eastAsia" w:ascii="楷体" w:hAnsi="楷体" w:eastAsia="楷体"/>
          <w:szCs w:val="32"/>
        </w:rPr>
        <w:t xml:space="preserve"> 【承办单位确定】</w:t>
      </w:r>
      <w:r>
        <w:rPr>
          <w:rFonts w:hint="eastAsia" w:ascii="仿宋" w:hAnsi="仿宋" w:cs="仿宋"/>
          <w:kern w:val="0"/>
          <w:szCs w:val="32"/>
        </w:rPr>
        <w:t xml:space="preserve"> </w:t>
      </w:r>
      <w:r>
        <w:rPr>
          <w:rFonts w:hint="eastAsia" w:ascii="仿宋_GB2312" w:hAnsi="仿宋_GB2312" w:eastAsia="仿宋_GB2312" w:cs="仿宋_GB2312"/>
          <w:szCs w:val="32"/>
        </w:rPr>
        <w:t>决策机关决定启动决策程序的，应当明确</w:t>
      </w:r>
      <w:r>
        <w:rPr>
          <w:rFonts w:hint="eastAsia" w:ascii="仿宋_GB2312" w:hAnsi="仿宋_GB2312" w:eastAsia="仿宋_GB2312" w:cs="仿宋_GB2312"/>
          <w:kern w:val="0"/>
          <w:szCs w:val="32"/>
        </w:rPr>
        <w:t>决策事项的承办单位</w:t>
      </w:r>
      <w:r>
        <w:rPr>
          <w:rFonts w:hint="eastAsia" w:ascii="仿宋_GB2312" w:hAnsi="仿宋_GB2312" w:eastAsia="仿宋_GB2312" w:cs="仿宋_GB2312"/>
          <w:szCs w:val="32"/>
        </w:rPr>
        <w:t>（以下简称决策承办单位），由决策承办单位负责重大行政决策草案（以下简称决策草案）的拟订等工作。</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决策事项需要两个以上单位承办的，应当明确牵头决策承办单位。</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楷体" w:hAnsi="楷体" w:eastAsia="楷体"/>
          <w:sz w:val="32"/>
          <w:szCs w:val="32"/>
        </w:rPr>
        <w:t xml:space="preserve">【决策草案拟订—调研和时限】 </w:t>
      </w:r>
      <w:r>
        <w:rPr>
          <w:rFonts w:hint="eastAsia" w:ascii="仿宋_GB2312" w:hAnsi="仿宋_GB2312" w:eastAsia="仿宋_GB2312" w:cs="仿宋_GB2312"/>
          <w:sz w:val="32"/>
          <w:szCs w:val="32"/>
        </w:rPr>
        <w:t>决策承办单位应当深入调查研究，全面、准确掌握决策所需信息，充分协商协调，结合实际拟订决策草案。</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color w:val="000000" w:themeColor="text1"/>
          <w:szCs w:val="32"/>
        </w:rPr>
      </w:pPr>
      <w:r>
        <w:rPr>
          <w:rFonts w:hint="eastAsia" w:ascii="仿宋_GB2312" w:hAnsi="仿宋_GB2312" w:eastAsia="仿宋_GB2312" w:cs="仿宋_GB2312"/>
          <w:color w:val="000000" w:themeColor="text1"/>
          <w:szCs w:val="32"/>
        </w:rPr>
        <w:t>拟订决策草案，应当在三个月内完成；因特殊情况不能按期完成的，应当向决策</w:t>
      </w:r>
      <w:r>
        <w:rPr>
          <w:rFonts w:hint="eastAsia" w:ascii="仿宋_GB2312" w:hAnsi="仿宋_GB2312" w:eastAsia="仿宋_GB2312" w:cs="仿宋_GB2312"/>
          <w:kern w:val="0"/>
          <w:szCs w:val="32"/>
        </w:rPr>
        <w:t>机关说明</w:t>
      </w:r>
      <w:r>
        <w:rPr>
          <w:rFonts w:hint="eastAsia" w:ascii="仿宋_GB2312" w:hAnsi="仿宋_GB2312" w:eastAsia="仿宋_GB2312" w:cs="仿宋_GB2312"/>
          <w:color w:val="000000" w:themeColor="text1"/>
          <w:szCs w:val="32"/>
        </w:rPr>
        <w:t>理由并提出需要延长的期限。</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楷体" w:hAnsi="楷体" w:eastAsia="楷体"/>
          <w:b/>
          <w:bCs/>
          <w:sz w:val="32"/>
          <w:szCs w:val="32"/>
        </w:rPr>
        <w:t>【</w:t>
      </w:r>
      <w:r>
        <w:rPr>
          <w:rFonts w:hint="eastAsia" w:ascii="楷体" w:hAnsi="楷体" w:eastAsia="楷体"/>
          <w:sz w:val="32"/>
          <w:szCs w:val="32"/>
        </w:rPr>
        <w:t>决策草案拟订—法律依据梳理、公平竞争审查和合规审查</w:t>
      </w:r>
      <w:r>
        <w:rPr>
          <w:rFonts w:hint="eastAsia" w:ascii="楷体" w:hAnsi="楷体" w:eastAsia="楷体"/>
          <w:b/>
          <w:bCs/>
          <w:sz w:val="32"/>
          <w:szCs w:val="32"/>
        </w:rPr>
        <w:t xml:space="preserve">】 </w:t>
      </w:r>
      <w:r>
        <w:rPr>
          <w:rFonts w:hint="eastAsia" w:ascii="仿宋_GB2312" w:hAnsi="仿宋_GB2312" w:eastAsia="仿宋_GB2312" w:cs="仿宋_GB2312"/>
          <w:sz w:val="32"/>
          <w:szCs w:val="32"/>
        </w:rPr>
        <w:t>决策承办单位拟订决策草案，应当全面梳理与决策事项有关的法律、法规、规章和政策，使决策草案合法合规、与有关政策相衔接。</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拟定涉及市场准入、产业发展、招商引资、招标投标、政府采购、经营行为规范、资质标准等市场主体经济活动的决策草案的，决策承办单位应当按规定进行公平竞争审查。</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拟定有关或者影响货物贸易、服务贸易以及与贸易有关的知识产权的决策草案的，决策承办单位应当按规定进行贸易政策合规审查。</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楷体" w:hAnsi="楷体" w:eastAsia="楷体"/>
          <w:sz w:val="32"/>
          <w:szCs w:val="32"/>
        </w:rPr>
        <w:t xml:space="preserve">【草案拟订—成本效益分析和可行性分析】 </w:t>
      </w:r>
      <w:r>
        <w:rPr>
          <w:rFonts w:hint="eastAsia" w:ascii="仿宋_GB2312" w:hAnsi="仿宋_GB2312" w:eastAsia="仿宋_GB2312" w:cs="仿宋_GB2312"/>
          <w:sz w:val="32"/>
          <w:szCs w:val="32"/>
        </w:rPr>
        <w:t>决策承办单位根据需要对决策事项进行成本效益分析预测的，应当形成分析预测报告。分析预测报告包括基本信息和来源、分析预测方法和过程、分析预测结论及其对决策事项的影响等内容。</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楷体" w:hAnsi="楷体" w:eastAsia="楷体"/>
          <w:sz w:val="32"/>
          <w:szCs w:val="32"/>
        </w:rPr>
        <w:t xml:space="preserve">【征求有关单位意见】  </w:t>
      </w:r>
      <w:r>
        <w:rPr>
          <w:rFonts w:hint="eastAsia" w:ascii="仿宋_GB2312" w:hAnsi="仿宋_GB2312" w:eastAsia="仿宋_GB2312" w:cs="仿宋_GB2312"/>
          <w:sz w:val="32"/>
          <w:szCs w:val="32"/>
        </w:rPr>
        <w:t>决策承办单位拟订决策草案，应当征求相关部门和政府的意见，并与其充分协商；不能达成一致意见的，必要时可以报请决策机关有关负责人协调；经协调仍不能达成一致意见的，决策承办单位应当向决策机关说明争议的主要问题、相关单位的意见以及决策承办单位的意见、理由和依据。</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有关方面对决策事项存在较大分歧的，决策承办单位可以提出两个以上方案。</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632" w:firstLineChars="200"/>
        <w:textAlignment w:val="auto"/>
        <w:outlineLvl w:val="9"/>
        <w:rPr>
          <w:rFonts w:ascii="宋体" w:hAnsi="宋体" w:eastAsia="宋体"/>
          <w:sz w:val="32"/>
          <w:szCs w:val="32"/>
        </w:rPr>
      </w:pP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632" w:firstLineChars="200"/>
        <w:jc w:val="center"/>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第二节　公众参与</w:t>
      </w:r>
      <w:bookmarkStart w:id="2" w:name="11"/>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kern w:val="0"/>
          <w:szCs w:val="32"/>
        </w:rPr>
      </w:pP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color w:val="000000" w:themeColor="text1"/>
          <w:kern w:val="0"/>
          <w:szCs w:val="32"/>
        </w:rPr>
      </w:pPr>
      <w:r>
        <w:rPr>
          <w:rFonts w:hint="eastAsia" w:ascii="黑体" w:hAnsi="黑体" w:eastAsia="黑体" w:cs="黑体"/>
          <w:kern w:val="0"/>
          <w:szCs w:val="32"/>
        </w:rPr>
        <w:t>第十八条</w:t>
      </w:r>
      <w:bookmarkEnd w:id="2"/>
      <w:r>
        <w:rPr>
          <w:rFonts w:hint="eastAsia" w:ascii="楷体" w:hAnsi="楷体" w:eastAsia="楷体" w:cs="宋体"/>
          <w:color w:val="000000" w:themeColor="text1"/>
          <w:kern w:val="0"/>
          <w:szCs w:val="32"/>
        </w:rPr>
        <w:t>【一般规定】</w:t>
      </w:r>
      <w:r>
        <w:rPr>
          <w:rFonts w:hint="eastAsia" w:ascii="仿宋_GB2312" w:hAnsi="仿宋_GB2312" w:eastAsia="仿宋_GB2312" w:cs="仿宋_GB2312"/>
          <w:color w:val="000000" w:themeColor="text1"/>
          <w:kern w:val="0"/>
          <w:szCs w:val="32"/>
        </w:rPr>
        <w:t>决策承办单位应当采取便于社会公众参与的方式充分听取意见，涉及国家秘密、商业秘密等依法不予公开的决策事项除外。</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ascii="仿宋" w:hAnsi="仿宋" w:cs="仿宋"/>
          <w:kern w:val="0"/>
          <w:szCs w:val="32"/>
        </w:rPr>
      </w:pPr>
      <w:r>
        <w:rPr>
          <w:rFonts w:hint="eastAsia" w:ascii="仿宋_GB2312" w:hAnsi="仿宋_GB2312" w:eastAsia="仿宋_GB2312" w:cs="仿宋_GB2312"/>
          <w:color w:val="000000" w:themeColor="text1"/>
          <w:kern w:val="0"/>
          <w:szCs w:val="32"/>
        </w:rPr>
        <w:t>决策承办单位根据决策对社会和公众影响的范围和程度，可以采取座谈会、书面征求意见、向社会公开征求意见、实地走访、听证会、问卷调查、民意调查</w:t>
      </w:r>
      <w:r>
        <w:rPr>
          <w:rFonts w:hint="eastAsia" w:ascii="仿宋_GB2312" w:hAnsi="仿宋_GB2312" w:eastAsia="仿宋_GB2312" w:cs="仿宋_GB2312"/>
          <w:kern w:val="0"/>
          <w:szCs w:val="32"/>
        </w:rPr>
        <w:t>等多种方式广泛听取意见。</w:t>
      </w:r>
      <w:r>
        <w:rPr>
          <w:rFonts w:hint="eastAsia" w:ascii="仿宋" w:hAnsi="仿宋" w:cs="仿宋"/>
          <w:kern w:val="0"/>
          <w:szCs w:val="32"/>
        </w:rPr>
        <w:t xml:space="preserve"> 　　</w:t>
      </w: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432" w:lineRule="atLeast"/>
        <w:ind w:left="0" w:leftChars="0" w:right="0" w:rightChars="0" w:firstLine="632" w:firstLineChars="20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000000"/>
          <w:sz w:val="32"/>
          <w:szCs w:val="32"/>
        </w:rPr>
        <w:t>第十九条【</w:t>
      </w:r>
      <w:r>
        <w:rPr>
          <w:rFonts w:hint="eastAsia" w:ascii="楷体" w:hAnsi="楷体" w:eastAsia="楷体" w:cs="宋体"/>
          <w:sz w:val="32"/>
          <w:szCs w:val="32"/>
        </w:rPr>
        <w:t>听取企业意见特别规定</w:t>
      </w:r>
      <w:r>
        <w:rPr>
          <w:rFonts w:hint="eastAsia" w:ascii="黑体" w:hAnsi="黑体" w:eastAsia="黑体" w:cs="黑体"/>
          <w:color w:val="000000"/>
          <w:sz w:val="32"/>
          <w:szCs w:val="32"/>
        </w:rPr>
        <w:t>】</w:t>
      </w:r>
      <w:r>
        <w:rPr>
          <w:rFonts w:hint="eastAsia" w:ascii="仿宋_GB2312" w:hAnsi="仿宋_GB2312" w:eastAsia="仿宋_GB2312" w:cs="仿宋_GB2312"/>
          <w:color w:val="000000" w:themeColor="text1"/>
          <w:sz w:val="32"/>
          <w:szCs w:val="32"/>
        </w:rPr>
        <w:t>决策事项与企业生产经营活动密切相关</w:t>
      </w:r>
      <w:r>
        <w:rPr>
          <w:rFonts w:hint="eastAsia" w:ascii="仿宋_GB2312" w:hAnsi="仿宋_GB2312" w:eastAsia="仿宋_GB2312" w:cs="仿宋_GB2312"/>
          <w:color w:val="000000"/>
          <w:sz w:val="32"/>
          <w:szCs w:val="32"/>
        </w:rPr>
        <w:t>，可能对企业切身利益或者权利义务有重大影响的，</w:t>
      </w:r>
      <w:r>
        <w:rPr>
          <w:rFonts w:hint="eastAsia" w:ascii="仿宋_GB2312" w:hAnsi="仿宋_GB2312" w:eastAsia="仿宋_GB2312" w:cs="仿宋_GB2312"/>
          <w:color w:val="000000" w:themeColor="text1"/>
          <w:sz w:val="32"/>
          <w:szCs w:val="32"/>
        </w:rPr>
        <w:t>决策承办单位应当</w:t>
      </w:r>
      <w:r>
        <w:rPr>
          <w:rFonts w:hint="eastAsia" w:ascii="仿宋_GB2312" w:hAnsi="仿宋_GB2312" w:eastAsia="仿宋_GB2312" w:cs="仿宋_GB2312"/>
          <w:color w:val="000000"/>
          <w:sz w:val="32"/>
          <w:szCs w:val="32"/>
        </w:rPr>
        <w:t>充分听取有代表性的企业和行业协会商会的意见建议，</w:t>
      </w:r>
      <w:r>
        <w:rPr>
          <w:rFonts w:hint="eastAsia" w:ascii="仿宋_GB2312" w:hAnsi="仿宋_GB2312" w:eastAsia="仿宋_GB2312" w:cs="仿宋_GB2312"/>
          <w:color w:val="000000" w:themeColor="text1"/>
          <w:sz w:val="32"/>
          <w:szCs w:val="32"/>
        </w:rPr>
        <w:t>特别是民营企业、劳动密集型企业、中小企业</w:t>
      </w:r>
      <w:r>
        <w:rPr>
          <w:rFonts w:hint="eastAsia" w:ascii="仿宋_GB2312" w:hAnsi="仿宋_GB2312" w:eastAsia="仿宋_GB2312" w:cs="仿宋_GB2312"/>
          <w:color w:val="000000"/>
          <w:sz w:val="32"/>
          <w:szCs w:val="32"/>
        </w:rPr>
        <w:t>等市场主体的意见建议</w:t>
      </w:r>
      <w:r>
        <w:rPr>
          <w:rFonts w:hint="eastAsia" w:ascii="仿宋_GB2312" w:hAnsi="仿宋_GB2312" w:eastAsia="仿宋_GB2312" w:cs="仿宋_GB2312"/>
          <w:color w:val="000000" w:themeColor="text1"/>
          <w:sz w:val="32"/>
          <w:szCs w:val="32"/>
        </w:rPr>
        <w:t>，并与其进行沟通协</w:t>
      </w:r>
      <w:r>
        <w:rPr>
          <w:rFonts w:hint="eastAsia" w:ascii="仿宋_GB2312" w:hAnsi="仿宋_GB2312" w:eastAsia="仿宋_GB2312" w:cs="仿宋_GB2312"/>
          <w:color w:val="333333"/>
          <w:sz w:val="32"/>
          <w:szCs w:val="32"/>
          <w:shd w:val="clear" w:color="auto" w:fill="FFFFFF"/>
        </w:rPr>
        <w:t>商。</w:t>
      </w:r>
    </w:p>
    <w:p>
      <w:pPr>
        <w:keepNext w:val="0"/>
        <w:keepLines w:val="0"/>
        <w:pageBreakBefore w:val="0"/>
        <w:widowControl/>
        <w:kinsoku/>
        <w:wordWrap/>
        <w:overflowPunct/>
        <w:topLinePunct w:val="0"/>
        <w:autoSpaceDE/>
        <w:autoSpaceDN/>
        <w:bidi w:val="0"/>
        <w:spacing w:line="560" w:lineRule="exact"/>
        <w:ind w:left="0" w:leftChars="0" w:right="0" w:rightChars="0" w:firstLine="632" w:firstLineChars="200"/>
        <w:jc w:val="left"/>
        <w:textAlignment w:val="auto"/>
        <w:outlineLvl w:val="9"/>
        <w:rPr>
          <w:rFonts w:hint="eastAsia" w:ascii="仿宋_GB2312" w:hAnsi="仿宋_GB2312" w:eastAsia="仿宋_GB2312" w:cs="仿宋_GB2312"/>
          <w:color w:val="000000"/>
          <w:kern w:val="0"/>
          <w:szCs w:val="32"/>
        </w:rPr>
      </w:pPr>
      <w:r>
        <w:rPr>
          <w:rFonts w:hint="eastAsia" w:ascii="黑体" w:hAnsi="黑体" w:eastAsia="黑体" w:cs="黑体"/>
          <w:color w:val="000000"/>
          <w:kern w:val="0"/>
          <w:szCs w:val="32"/>
        </w:rPr>
        <w:t>第二十条</w:t>
      </w:r>
      <w:r>
        <w:rPr>
          <w:rFonts w:hint="eastAsia" w:ascii="仿宋" w:hAnsi="仿宋" w:cs="仿宋"/>
          <w:color w:val="000000"/>
          <w:kern w:val="0"/>
          <w:szCs w:val="32"/>
        </w:rPr>
        <w:t>【</w:t>
      </w:r>
      <w:r>
        <w:rPr>
          <w:rFonts w:hint="eastAsia" w:ascii="楷体" w:hAnsi="楷体" w:eastAsia="楷体" w:cs="宋体"/>
          <w:kern w:val="0"/>
          <w:szCs w:val="32"/>
        </w:rPr>
        <w:t>公众参与平台建设</w:t>
      </w:r>
      <w:r>
        <w:rPr>
          <w:rFonts w:hint="eastAsia" w:ascii="仿宋" w:hAnsi="仿宋" w:cs="仿宋"/>
          <w:color w:val="000000"/>
          <w:kern w:val="0"/>
          <w:szCs w:val="32"/>
        </w:rPr>
        <w:t xml:space="preserve">】 </w:t>
      </w:r>
      <w:r>
        <w:rPr>
          <w:rFonts w:hint="eastAsia" w:ascii="仿宋_GB2312" w:hAnsi="仿宋_GB2312" w:eastAsia="仿宋_GB2312" w:cs="仿宋_GB2312"/>
          <w:color w:val="000000"/>
          <w:kern w:val="0"/>
          <w:szCs w:val="32"/>
        </w:rPr>
        <w:t>决策机关及其所属部门应当加强公众参与平台建设，及时发布重大行政决策相关信息、征求意见及其反馈情况，充分利用政府门户网站、社交媒体、移动互联网等信息网络，拓展公众参与渠道，增强公众参与效果。</w:t>
      </w:r>
    </w:p>
    <w:p>
      <w:pPr>
        <w:keepNext w:val="0"/>
        <w:keepLines w:val="0"/>
        <w:pageBreakBefore w:val="0"/>
        <w:widowControl/>
        <w:kinsoku/>
        <w:wordWrap/>
        <w:overflowPunct/>
        <w:topLinePunct w:val="0"/>
        <w:autoSpaceDE/>
        <w:autoSpaceDN/>
        <w:bidi w:val="0"/>
        <w:spacing w:line="600" w:lineRule="exact"/>
        <w:ind w:left="0" w:leftChars="0" w:right="0" w:rightChars="0" w:firstLine="632" w:firstLineChars="200"/>
        <w:jc w:val="left"/>
        <w:textAlignment w:val="auto"/>
        <w:outlineLvl w:val="9"/>
        <w:rPr>
          <w:rFonts w:hint="eastAsia" w:ascii="仿宋_GB2312" w:hAnsi="仿宋_GB2312" w:eastAsia="仿宋_GB2312" w:cs="仿宋_GB2312"/>
          <w:color w:val="000000"/>
          <w:kern w:val="0"/>
          <w:szCs w:val="32"/>
        </w:rPr>
      </w:pPr>
      <w:r>
        <w:rPr>
          <w:rFonts w:hint="eastAsia" w:ascii="黑体" w:hAnsi="黑体" w:eastAsia="黑体" w:cs="黑体"/>
          <w:color w:val="000000"/>
          <w:kern w:val="0"/>
          <w:szCs w:val="32"/>
        </w:rPr>
        <w:t>第二十一条</w:t>
      </w:r>
      <w:r>
        <w:rPr>
          <w:rFonts w:hint="eastAsia" w:ascii="仿宋" w:hAnsi="仿宋" w:cs="仿宋"/>
          <w:color w:val="000000"/>
          <w:kern w:val="0"/>
          <w:szCs w:val="32"/>
        </w:rPr>
        <w:t>【</w:t>
      </w:r>
      <w:r>
        <w:rPr>
          <w:rFonts w:hint="eastAsia" w:ascii="楷体" w:hAnsi="楷体" w:eastAsia="楷体" w:cs="宋体"/>
          <w:kern w:val="0"/>
          <w:szCs w:val="32"/>
        </w:rPr>
        <w:t>向社会公开征求意见</w:t>
      </w:r>
      <w:r>
        <w:rPr>
          <w:rFonts w:hint="eastAsia" w:ascii="仿宋" w:hAnsi="仿宋" w:cs="仿宋"/>
          <w:color w:val="000000"/>
          <w:kern w:val="0"/>
          <w:szCs w:val="32"/>
        </w:rPr>
        <w:t xml:space="preserve">】 </w:t>
      </w:r>
      <w:r>
        <w:rPr>
          <w:rFonts w:hint="eastAsia" w:ascii="仿宋_GB2312" w:hAnsi="仿宋_GB2312" w:eastAsia="仿宋_GB2312" w:cs="仿宋_GB2312"/>
          <w:color w:val="000000"/>
          <w:kern w:val="0"/>
          <w:szCs w:val="32"/>
        </w:rPr>
        <w:t>决策事项向社会公开征求意见的，决策事项承办单位应当通过政府门户网站、政务新媒体以及报刊、广播、电视等便于社会公众知晓的途径进行。</w:t>
      </w:r>
    </w:p>
    <w:p>
      <w:pPr>
        <w:keepNext w:val="0"/>
        <w:keepLines w:val="0"/>
        <w:pageBreakBefore w:val="0"/>
        <w:widowControl/>
        <w:kinsoku/>
        <w:wordWrap/>
        <w:overflowPunct/>
        <w:topLinePunct w:val="0"/>
        <w:autoSpaceDE/>
        <w:autoSpaceDN/>
        <w:bidi w:val="0"/>
        <w:spacing w:line="600" w:lineRule="exact"/>
        <w:ind w:left="0" w:leftChars="0" w:right="0" w:rightChars="0" w:firstLine="632" w:firstLineChars="200"/>
        <w:jc w:val="left"/>
        <w:textAlignment w:val="auto"/>
        <w:outlineLvl w:val="9"/>
        <w:rPr>
          <w:rFonts w:hint="eastAsia" w:ascii="仿宋_GB2312" w:hAnsi="仿宋_GB2312" w:eastAsia="仿宋_GB2312" w:cs="仿宋_GB2312"/>
          <w:color w:val="000000"/>
          <w:kern w:val="0"/>
          <w:szCs w:val="32"/>
        </w:rPr>
      </w:pPr>
      <w:r>
        <w:rPr>
          <w:rFonts w:hint="eastAsia" w:ascii="仿宋_GB2312" w:hAnsi="仿宋_GB2312" w:eastAsia="仿宋_GB2312" w:cs="仿宋_GB2312"/>
          <w:color w:val="000000"/>
          <w:kern w:val="0"/>
          <w:szCs w:val="32"/>
        </w:rPr>
        <w:t>向社会公开征求意见的内容应当包括：</w:t>
      </w:r>
    </w:p>
    <w:p>
      <w:pPr>
        <w:keepNext w:val="0"/>
        <w:keepLines w:val="0"/>
        <w:pageBreakBefore w:val="0"/>
        <w:widowControl/>
        <w:kinsoku/>
        <w:wordWrap/>
        <w:overflowPunct/>
        <w:topLinePunct w:val="0"/>
        <w:autoSpaceDE/>
        <w:autoSpaceDN/>
        <w:bidi w:val="0"/>
        <w:spacing w:line="600" w:lineRule="exact"/>
        <w:ind w:left="0" w:leftChars="0" w:right="0" w:rightChars="0" w:firstLine="632" w:firstLineChars="200"/>
        <w:jc w:val="left"/>
        <w:textAlignment w:val="auto"/>
        <w:outlineLvl w:val="9"/>
        <w:rPr>
          <w:rFonts w:hint="eastAsia" w:ascii="仿宋_GB2312" w:hAnsi="仿宋_GB2312" w:eastAsia="仿宋_GB2312" w:cs="仿宋_GB2312"/>
          <w:color w:val="000000"/>
          <w:kern w:val="0"/>
          <w:szCs w:val="32"/>
        </w:rPr>
      </w:pPr>
      <w:r>
        <w:rPr>
          <w:rFonts w:hint="eastAsia" w:ascii="仿宋_GB2312" w:hAnsi="仿宋_GB2312" w:eastAsia="仿宋_GB2312" w:cs="仿宋_GB2312"/>
          <w:color w:val="000000"/>
          <w:kern w:val="0"/>
          <w:szCs w:val="32"/>
        </w:rPr>
        <w:t>（一）决策事项的名称及主要内容；</w:t>
      </w:r>
    </w:p>
    <w:p>
      <w:pPr>
        <w:keepNext w:val="0"/>
        <w:keepLines w:val="0"/>
        <w:pageBreakBefore w:val="0"/>
        <w:widowControl/>
        <w:kinsoku/>
        <w:wordWrap/>
        <w:overflowPunct/>
        <w:topLinePunct w:val="0"/>
        <w:autoSpaceDE/>
        <w:autoSpaceDN/>
        <w:bidi w:val="0"/>
        <w:spacing w:line="600" w:lineRule="exact"/>
        <w:ind w:left="0" w:leftChars="0" w:right="0" w:rightChars="0" w:firstLine="632" w:firstLineChars="200"/>
        <w:jc w:val="left"/>
        <w:textAlignment w:val="auto"/>
        <w:outlineLvl w:val="9"/>
        <w:rPr>
          <w:rFonts w:hint="eastAsia" w:ascii="仿宋_GB2312" w:hAnsi="仿宋_GB2312" w:eastAsia="仿宋_GB2312" w:cs="仿宋_GB2312"/>
          <w:color w:val="000000"/>
          <w:kern w:val="0"/>
          <w:szCs w:val="32"/>
        </w:rPr>
      </w:pPr>
      <w:r>
        <w:rPr>
          <w:rFonts w:hint="eastAsia" w:ascii="仿宋_GB2312" w:hAnsi="仿宋_GB2312" w:eastAsia="仿宋_GB2312" w:cs="仿宋_GB2312"/>
          <w:color w:val="000000"/>
          <w:kern w:val="0"/>
          <w:szCs w:val="32"/>
        </w:rPr>
        <w:t>（二）基本情况说明；</w:t>
      </w:r>
    </w:p>
    <w:p>
      <w:pPr>
        <w:keepNext w:val="0"/>
        <w:keepLines w:val="0"/>
        <w:pageBreakBefore w:val="0"/>
        <w:widowControl/>
        <w:kinsoku/>
        <w:wordWrap/>
        <w:overflowPunct/>
        <w:topLinePunct w:val="0"/>
        <w:autoSpaceDE/>
        <w:autoSpaceDN/>
        <w:bidi w:val="0"/>
        <w:spacing w:line="600" w:lineRule="exact"/>
        <w:ind w:left="0" w:leftChars="0" w:right="0" w:rightChars="0" w:firstLine="632" w:firstLineChars="200"/>
        <w:jc w:val="left"/>
        <w:textAlignment w:val="auto"/>
        <w:outlineLvl w:val="9"/>
        <w:rPr>
          <w:rFonts w:hint="eastAsia" w:ascii="仿宋_GB2312" w:hAnsi="仿宋_GB2312" w:eastAsia="仿宋_GB2312" w:cs="仿宋_GB2312"/>
          <w:color w:val="000000"/>
          <w:kern w:val="0"/>
          <w:szCs w:val="32"/>
        </w:rPr>
      </w:pPr>
      <w:r>
        <w:rPr>
          <w:rFonts w:hint="eastAsia" w:ascii="仿宋_GB2312" w:hAnsi="仿宋_GB2312" w:eastAsia="仿宋_GB2312" w:cs="仿宋_GB2312"/>
          <w:color w:val="000000"/>
          <w:kern w:val="0"/>
          <w:szCs w:val="32"/>
        </w:rPr>
        <w:t>（三）决策依据和理由；</w:t>
      </w:r>
    </w:p>
    <w:p>
      <w:pPr>
        <w:keepNext w:val="0"/>
        <w:keepLines w:val="0"/>
        <w:pageBreakBefore w:val="0"/>
        <w:widowControl/>
        <w:kinsoku/>
        <w:wordWrap/>
        <w:overflowPunct/>
        <w:topLinePunct w:val="0"/>
        <w:autoSpaceDE/>
        <w:autoSpaceDN/>
        <w:bidi w:val="0"/>
        <w:spacing w:line="600" w:lineRule="exact"/>
        <w:ind w:left="0" w:leftChars="0" w:right="0" w:rightChars="0" w:firstLine="632" w:firstLineChars="200"/>
        <w:jc w:val="left"/>
        <w:textAlignment w:val="auto"/>
        <w:outlineLvl w:val="9"/>
        <w:rPr>
          <w:rFonts w:hint="eastAsia" w:ascii="仿宋_GB2312" w:hAnsi="仿宋_GB2312" w:eastAsia="仿宋_GB2312" w:cs="仿宋_GB2312"/>
          <w:color w:val="000000"/>
          <w:kern w:val="0"/>
          <w:szCs w:val="32"/>
        </w:rPr>
      </w:pPr>
      <w:r>
        <w:rPr>
          <w:rFonts w:hint="eastAsia" w:ascii="仿宋_GB2312" w:hAnsi="仿宋_GB2312" w:eastAsia="仿宋_GB2312" w:cs="仿宋_GB2312"/>
          <w:color w:val="000000"/>
          <w:kern w:val="0"/>
          <w:szCs w:val="32"/>
        </w:rPr>
        <w:t>（四）反馈意见的方式和时间；</w:t>
      </w:r>
    </w:p>
    <w:p>
      <w:pPr>
        <w:keepNext w:val="0"/>
        <w:keepLines w:val="0"/>
        <w:pageBreakBefore w:val="0"/>
        <w:widowControl/>
        <w:kinsoku/>
        <w:wordWrap/>
        <w:overflowPunct/>
        <w:topLinePunct w:val="0"/>
        <w:autoSpaceDE/>
        <w:autoSpaceDN/>
        <w:bidi w:val="0"/>
        <w:spacing w:line="600" w:lineRule="exact"/>
        <w:ind w:left="0" w:leftChars="0" w:right="0" w:rightChars="0" w:firstLine="632" w:firstLineChars="200"/>
        <w:jc w:val="left"/>
        <w:textAlignment w:val="auto"/>
        <w:outlineLvl w:val="9"/>
        <w:rPr>
          <w:rFonts w:hint="eastAsia" w:ascii="仿宋_GB2312" w:hAnsi="仿宋_GB2312" w:eastAsia="仿宋_GB2312" w:cs="仿宋_GB2312"/>
          <w:color w:val="000000"/>
          <w:kern w:val="0"/>
          <w:szCs w:val="32"/>
        </w:rPr>
      </w:pPr>
      <w:r>
        <w:rPr>
          <w:rFonts w:hint="eastAsia" w:ascii="仿宋_GB2312" w:hAnsi="仿宋_GB2312" w:eastAsia="仿宋_GB2312" w:cs="仿宋_GB2312"/>
          <w:color w:val="000000"/>
          <w:kern w:val="0"/>
          <w:szCs w:val="32"/>
        </w:rPr>
        <w:t>（五）应当公示的其他内容。</w:t>
      </w:r>
    </w:p>
    <w:p>
      <w:pPr>
        <w:keepNext w:val="0"/>
        <w:keepLines w:val="0"/>
        <w:pageBreakBefore w:val="0"/>
        <w:widowControl/>
        <w:kinsoku/>
        <w:wordWrap/>
        <w:overflowPunct/>
        <w:topLinePunct w:val="0"/>
        <w:autoSpaceDE/>
        <w:autoSpaceDN/>
        <w:bidi w:val="0"/>
        <w:spacing w:line="600" w:lineRule="exact"/>
        <w:ind w:left="0" w:leftChars="0" w:right="0" w:rightChars="0" w:firstLine="632" w:firstLineChars="200"/>
        <w:jc w:val="left"/>
        <w:textAlignment w:val="auto"/>
        <w:outlineLvl w:val="9"/>
        <w:rPr>
          <w:rFonts w:hint="eastAsia" w:ascii="仿宋_GB2312" w:hAnsi="仿宋_GB2312" w:eastAsia="仿宋_GB2312" w:cs="仿宋_GB2312"/>
          <w:color w:val="000000"/>
          <w:kern w:val="0"/>
          <w:szCs w:val="32"/>
        </w:rPr>
      </w:pPr>
      <w:r>
        <w:rPr>
          <w:rFonts w:hint="eastAsia" w:ascii="仿宋_GB2312" w:hAnsi="仿宋_GB2312" w:eastAsia="仿宋_GB2312" w:cs="仿宋_GB2312"/>
          <w:color w:val="000000"/>
          <w:kern w:val="0"/>
          <w:szCs w:val="32"/>
        </w:rPr>
        <w:t>公开征求意见的期限一般不少于30日；因情况紧急等需要缩短期限的，公开征求意见时应当说明理由。</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color w:val="000000"/>
          <w:kern w:val="0"/>
          <w:szCs w:val="32"/>
        </w:rPr>
      </w:pPr>
      <w:r>
        <w:rPr>
          <w:rFonts w:hint="eastAsia" w:ascii="仿宋_GB2312" w:hAnsi="仿宋_GB2312" w:eastAsia="仿宋_GB2312" w:cs="仿宋_GB2312"/>
          <w:color w:val="000000"/>
          <w:kern w:val="0"/>
          <w:szCs w:val="32"/>
        </w:rPr>
        <w:t>对社会公众普遍关心或者专业性、技术性较强的问题，决策承办单位可以通过专家访谈等方式进行解释说明。</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color w:val="000000" w:themeColor="text1"/>
          <w:kern w:val="0"/>
          <w:szCs w:val="32"/>
        </w:rPr>
      </w:pPr>
      <w:r>
        <w:rPr>
          <w:rFonts w:hint="eastAsia" w:ascii="黑体" w:hAnsi="黑体" w:eastAsia="黑体" w:cs="黑体"/>
          <w:kern w:val="0"/>
          <w:szCs w:val="32"/>
        </w:rPr>
        <w:t>第二十二条</w:t>
      </w:r>
      <w:r>
        <w:rPr>
          <w:rFonts w:hint="eastAsia" w:ascii="楷体" w:hAnsi="楷体" w:eastAsia="楷体" w:cs="微软雅黑"/>
          <w:kern w:val="0"/>
          <w:szCs w:val="32"/>
        </w:rPr>
        <w:t>【召开座谈会】</w:t>
      </w:r>
      <w:r>
        <w:rPr>
          <w:rFonts w:hint="eastAsia" w:ascii="仿宋_GB2312" w:hAnsi="仿宋_GB2312" w:eastAsia="仿宋_GB2312" w:cs="仿宋_GB2312"/>
          <w:color w:val="222222"/>
          <w:kern w:val="0"/>
          <w:szCs w:val="32"/>
          <w:shd w:val="clear" w:color="auto" w:fill="FFFFFF"/>
        </w:rPr>
        <w:t>以</w:t>
      </w:r>
      <w:r>
        <w:rPr>
          <w:rFonts w:hint="eastAsia" w:ascii="仿宋_GB2312" w:hAnsi="仿宋_GB2312" w:eastAsia="仿宋_GB2312" w:cs="仿宋_GB2312"/>
          <w:color w:val="000000" w:themeColor="text1"/>
          <w:kern w:val="0"/>
          <w:szCs w:val="32"/>
        </w:rPr>
        <w:t>座谈会方式征求公众意见的，决策承办单位应当邀请有利害关系的公民、法人或者其他组织代表参加，并将决策草案等材料于召开座谈会 3 日前送达与会代表。</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color w:val="000000" w:themeColor="text1"/>
          <w:kern w:val="0"/>
          <w:szCs w:val="32"/>
        </w:rPr>
      </w:pPr>
      <w:bookmarkStart w:id="3" w:name="14"/>
      <w:r>
        <w:rPr>
          <w:rFonts w:hint="eastAsia" w:ascii="黑体" w:hAnsi="黑体" w:eastAsia="黑体" w:cs="黑体"/>
          <w:kern w:val="0"/>
          <w:szCs w:val="32"/>
        </w:rPr>
        <w:t>第二十三条</w:t>
      </w:r>
      <w:bookmarkEnd w:id="3"/>
      <w:bookmarkStart w:id="35" w:name="_GoBack"/>
      <w:bookmarkEnd w:id="35"/>
      <w:r>
        <w:rPr>
          <w:rFonts w:hint="eastAsia" w:ascii="楷体" w:hAnsi="楷体" w:eastAsia="楷体" w:cs="微软雅黑"/>
          <w:kern w:val="0"/>
          <w:szCs w:val="32"/>
        </w:rPr>
        <w:t>【听证事项】</w:t>
      </w:r>
      <w:r>
        <w:rPr>
          <w:rFonts w:hint="eastAsia" w:ascii="仿宋_GB2312" w:hAnsi="仿宋_GB2312" w:eastAsia="仿宋_GB2312" w:cs="仿宋_GB2312"/>
          <w:color w:val="000000" w:themeColor="text1"/>
          <w:kern w:val="0"/>
          <w:szCs w:val="32"/>
        </w:rPr>
        <w:t>决策事项有下列情形之一的，决策承办单位应当举行听证会：</w:t>
      </w:r>
    </w:p>
    <w:p>
      <w:pPr>
        <w:keepNext w:val="0"/>
        <w:keepLines w:val="0"/>
        <w:pageBreakBefore w:val="0"/>
        <w:widowControl/>
        <w:numPr>
          <w:ilvl w:val="0"/>
          <w:numId w:val="2"/>
        </w:numPr>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color w:val="000000" w:themeColor="text1"/>
          <w:kern w:val="0"/>
          <w:szCs w:val="32"/>
        </w:rPr>
      </w:pPr>
      <w:r>
        <w:rPr>
          <w:rFonts w:hint="eastAsia" w:ascii="仿宋_GB2312" w:hAnsi="仿宋_GB2312" w:eastAsia="仿宋_GB2312" w:cs="仿宋_GB2312"/>
          <w:color w:val="000000" w:themeColor="text1"/>
          <w:kern w:val="0"/>
          <w:szCs w:val="32"/>
        </w:rPr>
        <w:t>法律、法规、规章规定应当听证的；</w:t>
      </w:r>
    </w:p>
    <w:p>
      <w:pPr>
        <w:keepNext w:val="0"/>
        <w:keepLines w:val="0"/>
        <w:pageBreakBefore w:val="0"/>
        <w:widowControl/>
        <w:numPr>
          <w:ilvl w:val="0"/>
          <w:numId w:val="2"/>
        </w:numPr>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color w:val="000000" w:themeColor="text1"/>
          <w:kern w:val="0"/>
          <w:szCs w:val="32"/>
        </w:rPr>
      </w:pPr>
      <w:r>
        <w:rPr>
          <w:rFonts w:hint="eastAsia" w:ascii="仿宋_GB2312" w:hAnsi="仿宋_GB2312" w:eastAsia="仿宋_GB2312" w:cs="仿宋_GB2312"/>
          <w:color w:val="000000" w:themeColor="text1"/>
          <w:kern w:val="0"/>
          <w:szCs w:val="32"/>
        </w:rPr>
        <w:t>直接涉及公民、法人、其他组织切身利益，可能影响</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color w:val="000000" w:themeColor="text1"/>
          <w:kern w:val="0"/>
          <w:szCs w:val="32"/>
        </w:rPr>
      </w:pPr>
      <w:r>
        <w:rPr>
          <w:rFonts w:hint="eastAsia" w:ascii="仿宋_GB2312" w:hAnsi="仿宋_GB2312" w:eastAsia="仿宋_GB2312" w:cs="仿宋_GB2312"/>
          <w:color w:val="000000" w:themeColor="text1"/>
          <w:kern w:val="0"/>
          <w:szCs w:val="32"/>
        </w:rPr>
        <w:t>社会稳定的；</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color w:val="000000" w:themeColor="text1"/>
          <w:kern w:val="0"/>
          <w:szCs w:val="32"/>
        </w:rPr>
      </w:pPr>
      <w:r>
        <w:rPr>
          <w:rFonts w:hint="eastAsia" w:ascii="仿宋_GB2312" w:hAnsi="仿宋_GB2312" w:eastAsia="仿宋_GB2312" w:cs="仿宋_GB2312"/>
          <w:color w:val="000000" w:themeColor="text1"/>
          <w:kern w:val="0"/>
          <w:szCs w:val="32"/>
        </w:rPr>
        <w:t>（三）决策方案存在重大分歧的。</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kern w:val="0"/>
          <w:szCs w:val="32"/>
        </w:rPr>
      </w:pPr>
      <w:r>
        <w:rPr>
          <w:rFonts w:hint="eastAsia" w:ascii="黑体" w:hAnsi="黑体" w:eastAsia="黑体" w:cs="黑体"/>
          <w:kern w:val="0"/>
          <w:szCs w:val="32"/>
        </w:rPr>
        <w:t>第二十四条</w:t>
      </w:r>
      <w:r>
        <w:rPr>
          <w:rFonts w:hint="eastAsia" w:ascii="楷体" w:hAnsi="楷体" w:eastAsia="楷体" w:cs="微软雅黑"/>
          <w:kern w:val="0"/>
          <w:szCs w:val="32"/>
        </w:rPr>
        <w:t xml:space="preserve">【听证公告】 </w:t>
      </w:r>
      <w:r>
        <w:rPr>
          <w:rFonts w:hint="eastAsia" w:ascii="仿宋_GB2312" w:hAnsi="仿宋_GB2312" w:eastAsia="仿宋_GB2312" w:cs="仿宋_GB2312"/>
          <w:kern w:val="0"/>
          <w:szCs w:val="32"/>
        </w:rPr>
        <w:t>决策承办单位应当在召开听证会 30日前公告下列事项：</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rPr>
        <w:t>（一）举行听证会的时间、地点；</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rPr>
        <w:t>（二）决策草案、依据和有关背景材料；</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rPr>
        <w:t>（三）申请参加听证会的时间、方式。</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kern w:val="0"/>
          <w:szCs w:val="32"/>
        </w:rPr>
      </w:pPr>
      <w:r>
        <w:rPr>
          <w:rFonts w:hint="eastAsia" w:ascii="黑体" w:hAnsi="黑体" w:eastAsia="黑体" w:cs="黑体"/>
          <w:kern w:val="0"/>
          <w:szCs w:val="32"/>
        </w:rPr>
        <w:t>第二十五条</w:t>
      </w:r>
      <w:r>
        <w:rPr>
          <w:rFonts w:hint="eastAsia" w:ascii="楷体" w:hAnsi="楷体" w:eastAsia="楷体" w:cs="宋体"/>
          <w:kern w:val="0"/>
          <w:szCs w:val="32"/>
        </w:rPr>
        <w:t xml:space="preserve">【听证参加人】 </w:t>
      </w:r>
      <w:r>
        <w:rPr>
          <w:rFonts w:hint="eastAsia" w:ascii="仿宋_GB2312" w:hAnsi="仿宋_GB2312" w:eastAsia="仿宋_GB2312" w:cs="仿宋_GB2312"/>
          <w:kern w:val="0"/>
          <w:szCs w:val="32"/>
        </w:rPr>
        <w:t>与决策事项有利害关系的公民、法人或者其他组织，可以申请参加听证会。</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rPr>
        <w:t>决策承办单位应当根据听证公告确定的条件，按照持不同意见人员比例相当的原则，合理确定听证参加人，利害关系人代表不少于听证参加总人数的二分之一。</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rPr>
        <w:t>申请参加听证会的人数较多的，决策承办单位应当依法公平公开组织遴选听证参加人，保证相关各方都有代表参加听证会。</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color w:val="000000" w:themeColor="text1"/>
          <w:kern w:val="0"/>
          <w:szCs w:val="32"/>
        </w:rPr>
      </w:pPr>
      <w:r>
        <w:rPr>
          <w:rFonts w:hint="eastAsia" w:ascii="仿宋_GB2312" w:hAnsi="仿宋_GB2312" w:eastAsia="仿宋_GB2312" w:cs="仿宋_GB2312"/>
          <w:kern w:val="0"/>
          <w:szCs w:val="32"/>
        </w:rPr>
        <w:t>听证参加人的姓名和基本情况应当提前向社会公布。听证会材料应当于召开听证会7日前送达听证参加人</w:t>
      </w:r>
      <w:r>
        <w:rPr>
          <w:rFonts w:hint="eastAsia" w:ascii="仿宋_GB2312" w:hAnsi="仿宋_GB2312" w:eastAsia="仿宋_GB2312" w:cs="仿宋_GB2312"/>
          <w:color w:val="000000" w:themeColor="text1"/>
          <w:kern w:val="0"/>
          <w:szCs w:val="32"/>
        </w:rPr>
        <w:t>。</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kern w:val="0"/>
          <w:szCs w:val="32"/>
        </w:rPr>
      </w:pPr>
      <w:bookmarkStart w:id="4" w:name="15"/>
      <w:r>
        <w:rPr>
          <w:rFonts w:hint="eastAsia" w:ascii="仿宋_GB2312" w:hAnsi="仿宋_GB2312" w:eastAsia="仿宋_GB2312" w:cs="仿宋_GB2312"/>
          <w:kern w:val="0"/>
          <w:szCs w:val="32"/>
        </w:rPr>
        <w:t>决策承办单位可以根据需要邀请有关专业人员、专家学者参加听证会。　　</w:t>
      </w:r>
    </w:p>
    <w:p>
      <w:pPr>
        <w:keepNext w:val="0"/>
        <w:keepLines w:val="0"/>
        <w:pageBreakBefore w:val="0"/>
        <w:widowControl/>
        <w:shd w:val="clear" w:color="auto" w:fill="FFFFFF"/>
        <w:kinsoku/>
        <w:wordWrap/>
        <w:overflowPunct/>
        <w:topLinePunct w:val="0"/>
        <w:autoSpaceDE/>
        <w:autoSpaceDN/>
        <w:bidi w:val="0"/>
        <w:spacing w:line="560" w:lineRule="exact"/>
        <w:ind w:left="0" w:leftChars="0" w:right="0" w:rightChars="0" w:firstLine="632" w:firstLineChars="200"/>
        <w:jc w:val="left"/>
        <w:textAlignment w:val="auto"/>
        <w:outlineLvl w:val="9"/>
        <w:rPr>
          <w:rFonts w:hint="eastAsia" w:ascii="仿宋_GB2312" w:hAnsi="仿宋_GB2312" w:eastAsia="仿宋_GB2312" w:cs="仿宋_GB2312"/>
          <w:color w:val="333333"/>
          <w:szCs w:val="32"/>
        </w:rPr>
      </w:pPr>
      <w:r>
        <w:rPr>
          <w:rFonts w:hint="eastAsia" w:ascii="黑体" w:hAnsi="黑体" w:eastAsia="黑体" w:cs="黑体"/>
          <w:kern w:val="0"/>
          <w:szCs w:val="32"/>
        </w:rPr>
        <w:t>第二十六条</w:t>
      </w:r>
      <w:bookmarkEnd w:id="4"/>
      <w:r>
        <w:rPr>
          <w:rFonts w:hint="eastAsia" w:ascii="楷体" w:hAnsi="楷体" w:eastAsia="楷体" w:cs="宋体"/>
          <w:color w:val="000000" w:themeColor="text1"/>
          <w:kern w:val="0"/>
          <w:szCs w:val="32"/>
        </w:rPr>
        <w:t xml:space="preserve">【听证会程序】 </w:t>
      </w:r>
      <w:r>
        <w:rPr>
          <w:rFonts w:hint="eastAsia" w:ascii="仿宋_GB2312" w:hAnsi="仿宋_GB2312" w:eastAsia="仿宋_GB2312" w:cs="仿宋_GB2312"/>
          <w:color w:val="000000" w:themeColor="text1"/>
          <w:kern w:val="0"/>
          <w:szCs w:val="32"/>
        </w:rPr>
        <w:t>听证会应当</w:t>
      </w:r>
      <w:r>
        <w:rPr>
          <w:rFonts w:hint="eastAsia" w:ascii="仿宋_GB2312" w:hAnsi="仿宋_GB2312" w:eastAsia="仿宋_GB2312" w:cs="仿宋_GB2312"/>
          <w:color w:val="333333"/>
          <w:kern w:val="0"/>
          <w:szCs w:val="32"/>
          <w:shd w:val="clear" w:color="auto" w:fill="FFFFFF"/>
        </w:rPr>
        <w:t>按照下列程序公开举行：</w:t>
      </w:r>
    </w:p>
    <w:p>
      <w:pPr>
        <w:keepNext w:val="0"/>
        <w:keepLines w:val="0"/>
        <w:pageBreakBefore w:val="0"/>
        <w:kinsoku/>
        <w:wordWrap/>
        <w:overflowPunct/>
        <w:topLinePunct w:val="0"/>
        <w:autoSpaceDE/>
        <w:autoSpaceDN/>
        <w:bidi w:val="0"/>
        <w:spacing w:line="560" w:lineRule="exact"/>
        <w:ind w:left="0" w:leftChars="0" w:right="0" w:rightChars="0" w:firstLine="632" w:firstLineChars="200"/>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(一)听证记录人查明听证参加人到场情况，宣布听证会纪律；</w:t>
      </w:r>
    </w:p>
    <w:p>
      <w:pPr>
        <w:keepNext w:val="0"/>
        <w:keepLines w:val="0"/>
        <w:pageBreakBefore w:val="0"/>
        <w:kinsoku/>
        <w:wordWrap/>
        <w:overflowPunct/>
        <w:topLinePunct w:val="0"/>
        <w:autoSpaceDE/>
        <w:autoSpaceDN/>
        <w:bidi w:val="0"/>
        <w:spacing w:line="560" w:lineRule="exact"/>
        <w:ind w:left="0" w:leftChars="0" w:right="0" w:rightChars="0" w:firstLine="632" w:firstLineChars="200"/>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(二)听证主持人宣布听证会开始，介绍听证主持人、听证记录人，宣布听证会内容；</w:t>
      </w:r>
    </w:p>
    <w:p>
      <w:pPr>
        <w:keepNext w:val="0"/>
        <w:keepLines w:val="0"/>
        <w:pageBreakBefore w:val="0"/>
        <w:kinsoku/>
        <w:wordWrap/>
        <w:overflowPunct/>
        <w:topLinePunct w:val="0"/>
        <w:autoSpaceDE/>
        <w:autoSpaceDN/>
        <w:bidi w:val="0"/>
        <w:spacing w:line="560" w:lineRule="exact"/>
        <w:ind w:left="0" w:leftChars="0" w:right="0" w:rightChars="0" w:firstLine="632" w:firstLineChars="200"/>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(三)决策事项承办单位介绍决策草案、依据和有关情况；</w:t>
      </w:r>
    </w:p>
    <w:p>
      <w:pPr>
        <w:keepNext w:val="0"/>
        <w:keepLines w:val="0"/>
        <w:pageBreakBefore w:val="0"/>
        <w:kinsoku/>
        <w:wordWrap/>
        <w:overflowPunct/>
        <w:topLinePunct w:val="0"/>
        <w:autoSpaceDE/>
        <w:autoSpaceDN/>
        <w:bidi w:val="0"/>
        <w:spacing w:line="560" w:lineRule="exact"/>
        <w:ind w:left="0" w:leftChars="0" w:right="0" w:rightChars="0" w:firstLine="632" w:firstLineChars="200"/>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color w:val="333333"/>
          <w:kern w:val="0"/>
          <w:szCs w:val="32"/>
          <w:shd w:val="clear" w:color="auto" w:fill="FFFFFF"/>
        </w:rPr>
        <w:t>(四)</w:t>
      </w:r>
      <w:r>
        <w:rPr>
          <w:rFonts w:hint="eastAsia" w:ascii="仿宋_GB2312" w:hAnsi="仿宋_GB2312" w:eastAsia="仿宋_GB2312" w:cs="仿宋_GB2312"/>
          <w:szCs w:val="32"/>
        </w:rPr>
        <w:t>听证参加人陈述意见，进行询问、质证和辩论，必要时可以由决策承办单位或者有关专家进行解释说明；</w:t>
      </w:r>
    </w:p>
    <w:p>
      <w:pPr>
        <w:keepNext w:val="0"/>
        <w:keepLines w:val="0"/>
        <w:pageBreakBefore w:val="0"/>
        <w:kinsoku/>
        <w:wordWrap/>
        <w:overflowPunct/>
        <w:topLinePunct w:val="0"/>
        <w:autoSpaceDE/>
        <w:autoSpaceDN/>
        <w:bidi w:val="0"/>
        <w:spacing w:line="560" w:lineRule="exact"/>
        <w:ind w:left="0" w:leftChars="0" w:right="0" w:rightChars="0" w:firstLine="632" w:firstLineChars="200"/>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color w:val="333333"/>
          <w:kern w:val="0"/>
          <w:szCs w:val="32"/>
          <w:shd w:val="clear" w:color="auto" w:fill="FFFFFF"/>
        </w:rPr>
        <w:t>(五)</w:t>
      </w:r>
      <w:r>
        <w:rPr>
          <w:rFonts w:hint="eastAsia" w:ascii="仿宋_GB2312" w:hAnsi="仿宋_GB2312" w:eastAsia="仿宋_GB2312" w:cs="仿宋_GB2312"/>
          <w:szCs w:val="32"/>
        </w:rPr>
        <w:t>听证参加人确认听证会记录并签字。</w:t>
      </w:r>
    </w:p>
    <w:p>
      <w:pPr>
        <w:keepNext w:val="0"/>
        <w:keepLines w:val="0"/>
        <w:pageBreakBefore w:val="0"/>
        <w:kinsoku/>
        <w:wordWrap/>
        <w:overflowPunct/>
        <w:topLinePunct w:val="0"/>
        <w:autoSpaceDE/>
        <w:autoSpaceDN/>
        <w:bidi w:val="0"/>
        <w:spacing w:line="560" w:lineRule="exact"/>
        <w:ind w:left="0" w:leftChars="0" w:right="0" w:rightChars="0" w:firstLine="632" w:firstLineChars="200"/>
        <w:textAlignment w:val="auto"/>
        <w:outlineLvl w:val="9"/>
        <w:rPr>
          <w:rFonts w:hint="eastAsia" w:ascii="仿宋_GB2312" w:hAnsi="仿宋_GB2312" w:eastAsia="仿宋_GB2312" w:cs="仿宋_GB2312"/>
          <w:szCs w:val="32"/>
        </w:rPr>
      </w:pPr>
      <w:r>
        <w:rPr>
          <w:rFonts w:hint="eastAsia" w:ascii="黑体" w:hAnsi="黑体" w:eastAsia="黑体" w:cs="黑体"/>
          <w:kern w:val="0"/>
          <w:szCs w:val="32"/>
        </w:rPr>
        <w:t>第二十七条</w:t>
      </w:r>
      <w:r>
        <w:rPr>
          <w:rFonts w:hint="eastAsia" w:ascii="楷体" w:hAnsi="楷体" w:eastAsia="楷体" w:cs="宋体"/>
          <w:color w:val="000000" w:themeColor="text1"/>
          <w:kern w:val="0"/>
          <w:szCs w:val="32"/>
        </w:rPr>
        <w:t xml:space="preserve">【听证报告】 </w:t>
      </w:r>
      <w:r>
        <w:rPr>
          <w:rFonts w:hint="eastAsia" w:ascii="仿宋_GB2312" w:hAnsi="仿宋_GB2312" w:eastAsia="仿宋_GB2312" w:cs="仿宋_GB2312"/>
          <w:szCs w:val="32"/>
        </w:rPr>
        <w:t>决策承办单位应当根据听证会记录制作听证报告，作为决策机关决策的重要依据。</w:t>
      </w:r>
    </w:p>
    <w:p>
      <w:pPr>
        <w:keepNext w:val="0"/>
        <w:keepLines w:val="0"/>
        <w:pageBreakBefore w:val="0"/>
        <w:kinsoku/>
        <w:wordWrap/>
        <w:overflowPunct/>
        <w:topLinePunct w:val="0"/>
        <w:autoSpaceDE/>
        <w:autoSpaceDN/>
        <w:bidi w:val="0"/>
        <w:spacing w:line="560" w:lineRule="exact"/>
        <w:ind w:left="0" w:leftChars="0" w:right="0" w:rightChars="0" w:firstLine="632" w:firstLineChars="200"/>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听证报告包括召开听证会的基本情况、听证参加人的意见、意见采纳情况和理由等内容。</w:t>
      </w:r>
    </w:p>
    <w:p>
      <w:pPr>
        <w:keepNext w:val="0"/>
        <w:keepLines w:val="0"/>
        <w:pageBreakBefore w:val="0"/>
        <w:kinsoku/>
        <w:wordWrap/>
        <w:overflowPunct/>
        <w:topLinePunct w:val="0"/>
        <w:autoSpaceDE/>
        <w:autoSpaceDN/>
        <w:bidi w:val="0"/>
        <w:spacing w:line="560" w:lineRule="exact"/>
        <w:ind w:left="0" w:leftChars="0" w:right="0" w:rightChars="0" w:firstLine="632" w:firstLineChars="200"/>
        <w:textAlignment w:val="auto"/>
        <w:outlineLvl w:val="9"/>
        <w:rPr>
          <w:rFonts w:hint="eastAsia" w:ascii="仿宋_GB2312" w:hAnsi="仿宋_GB2312" w:eastAsia="仿宋_GB2312" w:cs="仿宋_GB2312"/>
          <w:szCs w:val="32"/>
        </w:rPr>
      </w:pPr>
      <w:bookmarkStart w:id="5" w:name="16"/>
      <w:r>
        <w:rPr>
          <w:rFonts w:hint="eastAsia" w:ascii="黑体" w:hAnsi="黑体" w:eastAsia="黑体" w:cs="黑体"/>
          <w:kern w:val="0"/>
          <w:szCs w:val="32"/>
        </w:rPr>
        <w:t>第二十八条</w:t>
      </w:r>
      <w:r>
        <w:rPr>
          <w:rFonts w:hint="eastAsia" w:ascii="楷体" w:hAnsi="楷体" w:eastAsia="楷体" w:cs="微软雅黑"/>
          <w:kern w:val="0"/>
          <w:szCs w:val="32"/>
        </w:rPr>
        <w:t xml:space="preserve">【民意调查】 </w:t>
      </w:r>
      <w:r>
        <w:rPr>
          <w:rFonts w:hint="eastAsia" w:ascii="仿宋_GB2312" w:hAnsi="仿宋_GB2312" w:eastAsia="仿宋_GB2312" w:cs="仿宋_GB2312"/>
          <w:szCs w:val="32"/>
        </w:rPr>
        <w:t>对有关文化教育、医疗卫生、资源开发、生态环境保护、公用事业等重大民生决策事项，决策承办单位应当采取民意调查的方式，了解社会公众对决策事项的意见，并形成调查报告。</w:t>
      </w:r>
    </w:p>
    <w:p>
      <w:pPr>
        <w:keepNext w:val="0"/>
        <w:keepLines w:val="0"/>
        <w:pageBreakBefore w:val="0"/>
        <w:kinsoku/>
        <w:wordWrap/>
        <w:overflowPunct/>
        <w:topLinePunct w:val="0"/>
        <w:autoSpaceDE/>
        <w:autoSpaceDN/>
        <w:bidi w:val="0"/>
        <w:spacing w:line="560" w:lineRule="exact"/>
        <w:ind w:left="0" w:leftChars="0" w:right="0" w:rightChars="0" w:firstLine="632" w:firstLineChars="200"/>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民意调查可以由决策承办单位自行组织开展，也可以委托民意调查机构等第三方机构。</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szCs w:val="32"/>
        </w:rPr>
      </w:pPr>
      <w:r>
        <w:rPr>
          <w:rFonts w:hint="eastAsia" w:ascii="黑体" w:hAnsi="黑体" w:eastAsia="黑体" w:cs="黑体"/>
          <w:kern w:val="0"/>
          <w:szCs w:val="32"/>
        </w:rPr>
        <w:t>第二十九条</w:t>
      </w:r>
      <w:bookmarkEnd w:id="5"/>
      <w:r>
        <w:rPr>
          <w:rFonts w:hint="eastAsia" w:ascii="楷体" w:hAnsi="楷体" w:eastAsia="楷体" w:cs="宋体"/>
          <w:color w:val="000000" w:themeColor="text1"/>
          <w:kern w:val="0"/>
          <w:szCs w:val="32"/>
        </w:rPr>
        <w:t xml:space="preserve">【意见听取和记录】 </w:t>
      </w:r>
      <w:r>
        <w:rPr>
          <w:rFonts w:hint="eastAsia" w:ascii="仿宋_GB2312" w:hAnsi="仿宋_GB2312" w:eastAsia="仿宋_GB2312" w:cs="仿宋_GB2312"/>
          <w:szCs w:val="32"/>
        </w:rPr>
        <w:t>决策承办单位应当全面、客观地听取和记录各方面的意见，不得只听取、记录赞成的意见，不得漏报、瞒报反对意见。</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szCs w:val="32"/>
        </w:rPr>
      </w:pPr>
      <w:bookmarkStart w:id="6" w:name="17"/>
      <w:r>
        <w:rPr>
          <w:rFonts w:hint="eastAsia" w:ascii="黑体" w:hAnsi="黑体" w:eastAsia="黑体" w:cs="黑体"/>
          <w:kern w:val="0"/>
          <w:szCs w:val="32"/>
        </w:rPr>
        <w:t>第三十条</w:t>
      </w:r>
      <w:bookmarkEnd w:id="6"/>
      <w:r>
        <w:rPr>
          <w:rFonts w:hint="eastAsia" w:ascii="楷体" w:hAnsi="楷体" w:eastAsia="楷体" w:cs="宋体"/>
          <w:color w:val="000000" w:themeColor="text1"/>
          <w:kern w:val="0"/>
          <w:szCs w:val="32"/>
        </w:rPr>
        <w:t xml:space="preserve">【意见处理】 </w:t>
      </w:r>
      <w:r>
        <w:rPr>
          <w:rFonts w:hint="eastAsia" w:ascii="仿宋_GB2312" w:hAnsi="仿宋_GB2312" w:eastAsia="仿宋_GB2312" w:cs="仿宋_GB2312"/>
          <w:szCs w:val="32"/>
        </w:rPr>
        <w:t>决策承办单位应当将公众参与的情况进行归纳整理、研究论证，充分采纳合理意见，完善决策草案，并形成社会公众意见研究采纳情况报告。 　　</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决策承办单位应当通过适当形式向社会反馈公众意见采纳情况，对未采纳的公众意见说明理由。</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ascii="仿宋" w:hAnsi="仿宋" w:cs="仿宋"/>
          <w:color w:val="222222"/>
          <w:szCs w:val="32"/>
          <w:shd w:val="clear" w:color="auto" w:fill="FFFFFF"/>
        </w:rPr>
      </w:pP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jc w:val="center"/>
        <w:textAlignment w:val="auto"/>
        <w:outlineLvl w:val="9"/>
        <w:rPr>
          <w:rFonts w:hint="eastAsia" w:ascii="仿宋_GB2312" w:hAnsi="仿宋_GB2312" w:eastAsia="仿宋_GB2312" w:cs="仿宋_GB2312"/>
          <w:b/>
          <w:bCs w:val="0"/>
          <w:kern w:val="0"/>
          <w:szCs w:val="32"/>
        </w:rPr>
      </w:pPr>
      <w:r>
        <w:rPr>
          <w:rFonts w:hint="eastAsia" w:ascii="仿宋_GB2312" w:hAnsi="仿宋_GB2312" w:eastAsia="仿宋_GB2312" w:cs="仿宋_GB2312"/>
          <w:b/>
          <w:bCs w:val="0"/>
          <w:kern w:val="0"/>
          <w:szCs w:val="32"/>
        </w:rPr>
        <w:t>第三节　专家论证</w:t>
      </w:r>
      <w:bookmarkStart w:id="7" w:name="19"/>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ascii="宋体" w:hAnsi="宋体" w:eastAsia="宋体" w:cs="宋体"/>
          <w:b/>
          <w:kern w:val="0"/>
          <w:szCs w:val="32"/>
        </w:rPr>
      </w:pP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kern w:val="0"/>
          <w:szCs w:val="32"/>
        </w:rPr>
      </w:pPr>
      <w:r>
        <w:rPr>
          <w:rFonts w:hint="eastAsia" w:ascii="黑体" w:hAnsi="黑体" w:eastAsia="黑体" w:cs="黑体"/>
          <w:kern w:val="0"/>
          <w:szCs w:val="32"/>
        </w:rPr>
        <w:t>第三十一条</w:t>
      </w:r>
      <w:bookmarkEnd w:id="7"/>
      <w:r>
        <w:rPr>
          <w:rFonts w:hint="eastAsia" w:ascii="楷体" w:hAnsi="楷体" w:eastAsia="楷体" w:cs="宋体"/>
          <w:kern w:val="0"/>
          <w:szCs w:val="32"/>
        </w:rPr>
        <w:t xml:space="preserve">【一般规定】 </w:t>
      </w:r>
      <w:r>
        <w:rPr>
          <w:rFonts w:hint="eastAsia" w:ascii="仿宋_GB2312" w:hAnsi="仿宋_GB2312" w:eastAsia="仿宋_GB2312" w:cs="仿宋_GB2312"/>
          <w:kern w:val="0"/>
          <w:szCs w:val="32"/>
        </w:rPr>
        <w:t>对专业性、技术性较强的决策事项，决策承办单位应当组织专家、专业机构论证其必要性、可行性、科学性等，并提供必要保障。</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rPr>
        <w:t>专家论证可以采取论证会、书面咨询、委托咨询论证等方式。</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szCs w:val="32"/>
        </w:rPr>
      </w:pPr>
      <w:bookmarkStart w:id="8" w:name="21"/>
      <w:r>
        <w:rPr>
          <w:rFonts w:hint="eastAsia" w:ascii="黑体" w:hAnsi="黑体" w:eastAsia="黑体" w:cs="黑体"/>
          <w:kern w:val="0"/>
          <w:szCs w:val="32"/>
        </w:rPr>
        <w:t>第三十二条</w:t>
      </w:r>
      <w:bookmarkEnd w:id="8"/>
      <w:r>
        <w:rPr>
          <w:rFonts w:hint="eastAsia" w:ascii="楷体" w:hAnsi="楷体" w:eastAsia="楷体" w:cs="宋体"/>
          <w:kern w:val="0"/>
          <w:szCs w:val="32"/>
        </w:rPr>
        <w:t>【专家遴选要求】</w:t>
      </w:r>
      <w:r>
        <w:rPr>
          <w:rFonts w:hint="eastAsia" w:ascii="仿宋_GB2312" w:hAnsi="仿宋_GB2312" w:eastAsia="仿宋_GB2312" w:cs="仿宋_GB2312"/>
          <w:szCs w:val="32"/>
        </w:rPr>
        <w:t>决策承办单位选择专家、专业机构参与论证，应当坚持专业性、代表性和中立性，注重选择持不同意见的专家、专业机构，不得选择与决策事项有直接利害关系的专家、专业机构。</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参与论证的专家应当包括行业专家和法律专家，以行业专家为主。参与论证的行业专家、专业机构，其专业特长应当与决策事项相符合，并在本专业领域具有一定的权威性、代表性。</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决策事项涉及多个专业领域的，应当选择相应领域的专家、专业机构参与论证。</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参与论证的专家一般不少于5人。对涉及面较广、争议较大或者内容特别复杂、敏感的决策事项，专家一般不少于9人。</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szCs w:val="32"/>
        </w:rPr>
      </w:pPr>
      <w:bookmarkStart w:id="9" w:name="22"/>
      <w:r>
        <w:rPr>
          <w:rFonts w:hint="eastAsia" w:ascii="黑体" w:hAnsi="黑体" w:eastAsia="黑体" w:cs="黑体"/>
          <w:sz w:val="32"/>
          <w:szCs w:val="32"/>
        </w:rPr>
        <w:t>第三十三条</w:t>
      </w:r>
      <w:bookmarkEnd w:id="9"/>
      <w:r>
        <w:rPr>
          <w:rFonts w:hint="eastAsia" w:ascii="楷体" w:hAnsi="楷体" w:eastAsia="楷体" w:cs="宋体"/>
          <w:sz w:val="32"/>
          <w:szCs w:val="32"/>
        </w:rPr>
        <w:t xml:space="preserve">【专家库制度】 </w:t>
      </w:r>
      <w:r>
        <w:rPr>
          <w:rFonts w:hint="eastAsia" w:ascii="仿宋_GB2312" w:hAnsi="仿宋_GB2312" w:eastAsia="仿宋_GB2312" w:cs="仿宋_GB2312"/>
          <w:szCs w:val="32"/>
        </w:rPr>
        <w:t>省人民政府应当建立决策咨询论证专家（专业机构）库，完善相关管理和运行制度，健全专家、专业机构诚信和绩效考核以及退出机制。</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省人民政府及其工作部门开展重大行政决策咨询论证，应当从专家（专业机构）库中选择专家、专业机构。</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设区的市、县（市、区）人民政府可以根据需要建立决策咨询论证专家（专业机构）库，也可以从上级人民政府专家（专业机构）库中选取专家、专业机构。</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kern w:val="0"/>
          <w:szCs w:val="32"/>
        </w:rPr>
      </w:pPr>
      <w:r>
        <w:rPr>
          <w:rFonts w:hint="eastAsia" w:ascii="黑体" w:hAnsi="黑体" w:eastAsia="黑体" w:cs="黑体"/>
          <w:kern w:val="0"/>
          <w:szCs w:val="32"/>
        </w:rPr>
        <w:t>第三十四条</w:t>
      </w:r>
      <w:r>
        <w:rPr>
          <w:rFonts w:hint="eastAsia" w:ascii="楷体" w:hAnsi="楷体" w:eastAsia="楷体" w:cs="宋体"/>
          <w:kern w:val="0"/>
          <w:szCs w:val="32"/>
        </w:rPr>
        <w:t xml:space="preserve">【论证内容】 </w:t>
      </w:r>
      <w:r>
        <w:rPr>
          <w:rFonts w:hint="eastAsia" w:ascii="仿宋_GB2312" w:hAnsi="仿宋_GB2312" w:eastAsia="仿宋_GB2312" w:cs="仿宋_GB2312"/>
          <w:kern w:val="0"/>
          <w:szCs w:val="32"/>
        </w:rPr>
        <w:t>专家、专业机构应当从下列方面对决策事项进行论证，并出具书面论证意见： 　　</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rPr>
        <w:t>（一）必要性；</w:t>
      </w:r>
    </w:p>
    <w:p>
      <w:pPr>
        <w:pStyle w:val="13"/>
        <w:keepNext w:val="0"/>
        <w:keepLines w:val="0"/>
        <w:pageBreakBefore w:val="0"/>
        <w:kinsoku/>
        <w:wordWrap/>
        <w:overflowPunct/>
        <w:topLinePunct w:val="0"/>
        <w:autoSpaceDE/>
        <w:autoSpaceDN/>
        <w:bidi w:val="0"/>
        <w:spacing w:line="560" w:lineRule="exact"/>
        <w:ind w:left="0" w:leftChars="0" w:right="0" w:rightChars="0" w:firstLine="632"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color w:val="333333"/>
          <w:sz w:val="32"/>
          <w:szCs w:val="32"/>
          <w:shd w:val="clear" w:color="auto" w:fill="FFFFFF"/>
        </w:rPr>
        <w:t>（二）是否与法律、法规、规章和上级政策文件规定相一致；</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rPr>
        <w:t>（三）决策的经济、社会、环境效益，是否与本地经济社会发展水平相适应；</w:t>
      </w: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632"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color w:val="333333"/>
          <w:sz w:val="32"/>
          <w:szCs w:val="32"/>
          <w:shd w:val="clear" w:color="auto" w:fill="FFFFFF"/>
        </w:rPr>
        <w:t>决策的出台时机和条件是否成熟；</w:t>
      </w: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（五）决策实施对</w:t>
      </w:r>
      <w:r>
        <w:rPr>
          <w:rFonts w:hint="eastAsia" w:ascii="仿宋_GB2312" w:hAnsi="仿宋_GB2312" w:eastAsia="仿宋_GB2312" w:cs="仿宋_GB2312"/>
          <w:color w:val="333333"/>
          <w:sz w:val="32"/>
          <w:szCs w:val="32"/>
          <w:shd w:val="clear" w:color="auto" w:fill="FFFFFF"/>
        </w:rPr>
        <w:t>社会稳定、生态环境、</w:t>
      </w:r>
      <w:r>
        <w:rPr>
          <w:rFonts w:hint="eastAsia" w:ascii="仿宋_GB2312" w:hAnsi="仿宋_GB2312" w:eastAsia="仿宋_GB2312" w:cs="仿宋_GB2312"/>
          <w:sz w:val="32"/>
          <w:szCs w:val="32"/>
        </w:rPr>
        <w:t>生产安全、财政经济、社会稳定等方面可能产生的负面影响及可控性；</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color w:val="333333"/>
          <w:szCs w:val="32"/>
        </w:rPr>
      </w:pPr>
      <w:r>
        <w:rPr>
          <w:rFonts w:hint="eastAsia" w:ascii="仿宋_GB2312" w:hAnsi="仿宋_GB2312" w:eastAsia="仿宋_GB2312" w:cs="仿宋_GB2312"/>
          <w:color w:val="333333"/>
          <w:szCs w:val="32"/>
          <w:shd w:val="clear" w:color="auto" w:fill="FFFFFF"/>
        </w:rPr>
        <w:t>（六）对决策草案是否可施行或者修改的意见；</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rPr>
        <w:t>（七）其他需要论证的内容。</w:t>
      </w:r>
      <w:bookmarkStart w:id="10" w:name="23"/>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kern w:val="0"/>
          <w:szCs w:val="32"/>
        </w:rPr>
      </w:pPr>
      <w:r>
        <w:rPr>
          <w:rFonts w:hint="eastAsia" w:ascii="黑体" w:hAnsi="黑体" w:eastAsia="黑体" w:cs="黑体"/>
          <w:kern w:val="0"/>
          <w:szCs w:val="32"/>
        </w:rPr>
        <w:t>第三十五条</w:t>
      </w:r>
      <w:bookmarkEnd w:id="10"/>
      <w:r>
        <w:rPr>
          <w:rFonts w:hint="eastAsia" w:ascii="楷体" w:hAnsi="楷体" w:eastAsia="楷体" w:cs="宋体"/>
          <w:kern w:val="0"/>
          <w:szCs w:val="32"/>
        </w:rPr>
        <w:t xml:space="preserve">【专家的权利和义务】 </w:t>
      </w:r>
      <w:r>
        <w:rPr>
          <w:rFonts w:hint="eastAsia" w:ascii="仿宋_GB2312" w:hAnsi="仿宋_GB2312" w:eastAsia="仿宋_GB2312" w:cs="仿宋_GB2312"/>
          <w:kern w:val="0"/>
          <w:szCs w:val="32"/>
        </w:rPr>
        <w:t>决策承办单位应当根据决策事项的性质、内容、复杂程度、时间要求等情况，给予专家</w:t>
      </w:r>
      <w:r>
        <w:rPr>
          <w:rFonts w:hint="eastAsia" w:ascii="仿宋_GB2312" w:hAnsi="仿宋_GB2312" w:eastAsia="仿宋_GB2312" w:cs="仿宋_GB2312"/>
          <w:color w:val="000000" w:themeColor="text1"/>
          <w:kern w:val="0"/>
          <w:szCs w:val="32"/>
        </w:rPr>
        <w:t>、</w:t>
      </w:r>
      <w:r>
        <w:rPr>
          <w:rFonts w:hint="eastAsia" w:ascii="仿宋_GB2312" w:hAnsi="仿宋_GB2312" w:eastAsia="仿宋_GB2312" w:cs="仿宋_GB2312"/>
          <w:kern w:val="0"/>
          <w:szCs w:val="32"/>
        </w:rPr>
        <w:t>专业机构合理的研究时间，一般不少于7个工作日，并提供论证所需的资料。</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rPr>
        <w:t>专家、专业机构可以查阅相关档案资料、列席相关会议、参加相关调研活动，并按规定获得合理报酬。</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rPr>
        <w:t>专家、专业机构应当独立开展论证工作，客观、公正、科学地提出论证意见，对论证意见负责，并依法履行保密义务。</w:t>
      </w: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632" w:firstLineChars="200"/>
        <w:textAlignment w:val="auto"/>
        <w:outlineLvl w:val="9"/>
        <w:rPr>
          <w:rFonts w:hint="eastAsia" w:ascii="仿宋_GB2312" w:hAnsi="仿宋_GB2312" w:eastAsia="仿宋_GB2312" w:cs="仿宋_GB2312"/>
          <w:color w:val="222222"/>
          <w:sz w:val="32"/>
          <w:szCs w:val="32"/>
        </w:rPr>
      </w:pPr>
      <w:r>
        <w:rPr>
          <w:rFonts w:hint="eastAsia" w:ascii="黑体" w:hAnsi="黑体" w:eastAsia="黑体" w:cs="黑体"/>
          <w:sz w:val="32"/>
          <w:szCs w:val="32"/>
        </w:rPr>
        <w:t>第三十六条</w:t>
      </w:r>
      <w:r>
        <w:rPr>
          <w:rFonts w:hint="eastAsia" w:ascii="楷体" w:hAnsi="楷体" w:eastAsia="楷体" w:cs="宋体"/>
          <w:sz w:val="32"/>
          <w:szCs w:val="32"/>
        </w:rPr>
        <w:t xml:space="preserve">【专家论证意见应用】 </w:t>
      </w:r>
      <w:r>
        <w:rPr>
          <w:rFonts w:hint="eastAsia" w:ascii="仿宋_GB2312" w:hAnsi="仿宋_GB2312" w:eastAsia="仿宋_GB2312" w:cs="仿宋_GB2312"/>
          <w:color w:val="222222"/>
          <w:sz w:val="32"/>
          <w:szCs w:val="32"/>
          <w:shd w:val="clear" w:color="auto" w:fill="FFFFFF"/>
        </w:rPr>
        <w:t>决策承办单位应当对专家论证意见汇总整理，分析研究，形成专家论证意见研究采纳情况报告；报告包括专家论证的基本情况、专家的主要意见、意见研究采纳情况和理由等内容。</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ascii="宋体" w:hAnsi="宋体" w:eastAsia="宋体" w:cs="宋体"/>
          <w:kern w:val="0"/>
          <w:szCs w:val="32"/>
        </w:rPr>
      </w:pP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jc w:val="center"/>
        <w:textAlignment w:val="auto"/>
        <w:outlineLvl w:val="9"/>
        <w:rPr>
          <w:rFonts w:hint="eastAsia" w:ascii="仿宋_GB2312" w:hAnsi="仿宋_GB2312" w:eastAsia="仿宋_GB2312" w:cs="仿宋_GB2312"/>
          <w:b/>
          <w:bCs w:val="0"/>
          <w:kern w:val="0"/>
          <w:szCs w:val="32"/>
        </w:rPr>
      </w:pPr>
      <w:r>
        <w:rPr>
          <w:rFonts w:hint="eastAsia" w:ascii="仿宋_GB2312" w:hAnsi="仿宋_GB2312" w:eastAsia="仿宋_GB2312" w:cs="仿宋_GB2312"/>
          <w:b/>
          <w:bCs w:val="0"/>
          <w:kern w:val="0"/>
          <w:szCs w:val="32"/>
        </w:rPr>
        <w:t>第四节　风险评估</w:t>
      </w:r>
      <w:bookmarkStart w:id="11" w:name="25"/>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jc w:val="center"/>
        <w:textAlignment w:val="auto"/>
        <w:outlineLvl w:val="9"/>
        <w:rPr>
          <w:rFonts w:ascii="宋体" w:hAnsi="宋体" w:eastAsia="宋体" w:cs="宋体"/>
          <w:b/>
          <w:kern w:val="0"/>
          <w:szCs w:val="32"/>
        </w:rPr>
      </w:pPr>
    </w:p>
    <w:bookmarkEnd w:id="11"/>
    <w:p>
      <w:pPr>
        <w:keepNext w:val="0"/>
        <w:keepLines w:val="0"/>
        <w:pageBreakBefore w:val="0"/>
        <w:widowControl/>
        <w:kinsoku/>
        <w:wordWrap/>
        <w:overflowPunct/>
        <w:topLinePunct w:val="0"/>
        <w:autoSpaceDE/>
        <w:autoSpaceDN/>
        <w:bidi w:val="0"/>
        <w:spacing w:line="560" w:lineRule="exact"/>
        <w:ind w:left="0" w:leftChars="0" w:right="0" w:rightChars="0" w:firstLine="632" w:firstLineChars="200"/>
        <w:jc w:val="left"/>
        <w:textAlignment w:val="auto"/>
        <w:outlineLvl w:val="9"/>
        <w:rPr>
          <w:rFonts w:hint="eastAsia" w:ascii="仿宋_GB2312" w:hAnsi="仿宋_GB2312" w:eastAsia="仿宋_GB2312" w:cs="仿宋_GB2312"/>
          <w:color w:val="000000"/>
          <w:kern w:val="0"/>
          <w:szCs w:val="32"/>
        </w:rPr>
      </w:pPr>
      <w:r>
        <w:rPr>
          <w:rFonts w:hint="eastAsia" w:ascii="黑体" w:hAnsi="黑体" w:eastAsia="黑体" w:cs="黑体"/>
          <w:kern w:val="0"/>
          <w:szCs w:val="32"/>
        </w:rPr>
        <w:t>第三十七条</w:t>
      </w:r>
      <w:r>
        <w:rPr>
          <w:rFonts w:hint="eastAsia" w:ascii="楷体" w:hAnsi="楷体" w:eastAsia="楷体" w:cs="宋体"/>
          <w:kern w:val="0"/>
          <w:szCs w:val="32"/>
        </w:rPr>
        <w:t xml:space="preserve">【一般规定】 </w:t>
      </w:r>
      <w:r>
        <w:rPr>
          <w:rFonts w:hint="eastAsia" w:ascii="仿宋_GB2312" w:hAnsi="仿宋_GB2312" w:eastAsia="仿宋_GB2312" w:cs="仿宋_GB2312"/>
          <w:color w:val="000000"/>
          <w:kern w:val="0"/>
          <w:szCs w:val="32"/>
        </w:rPr>
        <w:t>重大行政决策的实施可能对经济发展、社会稳定、公共安全、生态环境等造成不利影响的，决策承办单位或者负责风险评估工作的其他单位，应当自行或者委托专业机构、社会组织等第三方评估决策草案的风险可控性。</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rPr>
        <w:t>按照有关规定已对有关风险可控性进行评价、评估的，不作重复评估。</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szCs w:val="32"/>
        </w:rPr>
      </w:pPr>
      <w:bookmarkStart w:id="12" w:name="28"/>
      <w:r>
        <w:rPr>
          <w:rFonts w:hint="eastAsia" w:ascii="黑体" w:hAnsi="黑体" w:eastAsia="黑体" w:cs="黑体"/>
          <w:kern w:val="0"/>
          <w:szCs w:val="32"/>
        </w:rPr>
        <w:t>第三十八条</w:t>
      </w:r>
      <w:r>
        <w:rPr>
          <w:rFonts w:hint="eastAsia" w:ascii="楷体" w:hAnsi="楷体" w:eastAsia="楷体" w:cs="宋体"/>
          <w:kern w:val="0"/>
          <w:szCs w:val="32"/>
        </w:rPr>
        <w:t>【风险评估内容】</w:t>
      </w:r>
      <w:r>
        <w:rPr>
          <w:rFonts w:hint="eastAsia" w:ascii="仿宋" w:hAnsi="仿宋" w:cs="仿宋"/>
          <w:kern w:val="0"/>
          <w:szCs w:val="32"/>
        </w:rPr>
        <w:t xml:space="preserve"> </w:t>
      </w:r>
      <w:r>
        <w:rPr>
          <w:rFonts w:hint="eastAsia" w:ascii="仿宋_GB2312" w:hAnsi="仿宋_GB2312" w:eastAsia="仿宋_GB2312" w:cs="仿宋_GB2312"/>
          <w:kern w:val="0"/>
          <w:szCs w:val="32"/>
        </w:rPr>
        <w:t>风险评估单位应当就决策事项的下列风险进行评估</w:t>
      </w:r>
      <w:r>
        <w:rPr>
          <w:rFonts w:hint="eastAsia" w:ascii="仿宋_GB2312" w:hAnsi="仿宋_GB2312" w:eastAsia="仿宋_GB2312" w:cs="仿宋_GB2312"/>
          <w:szCs w:val="32"/>
        </w:rPr>
        <w:t>：</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（一）社会稳定风险，包括可能引发群体性事件及其他社会安全事件的情形；</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（二）生态环境风险，包括可能造成重大环境污染、生态环境破坏或者次生自然灾害等不良影响的情形；</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（三）生产安全风险，包括可能影响生产安全、造成生产安全事故的情形；</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（四）财政金融风险，包括可能造成大额财政资金流失、带来重大政府性债务、导致区域性或系统性金融风险隐患的情形；</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（五）舆情风险，包括可能产生大范围的严重负面评价的情形；</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（六）可能引发的其他风险。</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szCs w:val="32"/>
        </w:rPr>
      </w:pPr>
      <w:r>
        <w:rPr>
          <w:rFonts w:hint="eastAsia" w:ascii="黑体" w:hAnsi="黑体" w:eastAsia="黑体" w:cs="黑体"/>
          <w:kern w:val="0"/>
          <w:szCs w:val="32"/>
        </w:rPr>
        <w:t>第三十九条</w:t>
      </w:r>
      <w:r>
        <w:rPr>
          <w:rFonts w:hint="eastAsia" w:ascii="楷体" w:hAnsi="楷体" w:eastAsia="楷体" w:cs="宋体"/>
          <w:kern w:val="0"/>
          <w:szCs w:val="32"/>
        </w:rPr>
        <w:t xml:space="preserve">【风险评估程序】 </w:t>
      </w:r>
      <w:r>
        <w:rPr>
          <w:rFonts w:hint="eastAsia" w:ascii="仿宋_GB2312" w:hAnsi="仿宋_GB2312" w:eastAsia="仿宋_GB2312" w:cs="仿宋_GB2312"/>
          <w:szCs w:val="32"/>
        </w:rPr>
        <w:t>风险评估应当按照下列程序进行：　　　　</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（一）制定评估工作方案。明确评估目的、评估对象与内容、评估标准、评估方法与步骤等； 　　</w:t>
      </w:r>
    </w:p>
    <w:p>
      <w:pPr>
        <w:keepNext w:val="0"/>
        <w:keepLines w:val="0"/>
        <w:pageBreakBefore w:val="0"/>
        <w:widowControl/>
        <w:kinsoku/>
        <w:wordWrap/>
        <w:overflowPunct/>
        <w:topLinePunct w:val="0"/>
        <w:autoSpaceDE/>
        <w:autoSpaceDN/>
        <w:bidi w:val="0"/>
        <w:spacing w:line="560" w:lineRule="exact"/>
        <w:ind w:left="0" w:leftChars="0" w:right="0" w:rightChars="0" w:firstLine="632" w:firstLineChars="200"/>
        <w:jc w:val="left"/>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（二）开展调查研究</w:t>
      </w:r>
      <w:r>
        <w:rPr>
          <w:rFonts w:hint="eastAsia" w:ascii="仿宋_GB2312" w:hAnsi="仿宋_GB2312" w:eastAsia="仿宋_GB2312" w:cs="仿宋_GB2312"/>
          <w:color w:val="000000"/>
          <w:kern w:val="0"/>
          <w:szCs w:val="32"/>
        </w:rPr>
        <w:t>。采取舆情跟踪、抽样调查、会商分析、召开座谈会等方式，充分听取有关部门、利益相关方和社会公众的意见，</w:t>
      </w:r>
      <w:r>
        <w:rPr>
          <w:rFonts w:hint="eastAsia" w:ascii="仿宋_GB2312" w:hAnsi="仿宋_GB2312" w:eastAsia="仿宋_GB2312" w:cs="仿宋_GB2312"/>
          <w:szCs w:val="32"/>
        </w:rPr>
        <w:t>对受决策影响较大的企事业单位、有特殊困难的群体进行重点走访，当面听取意见；</w:t>
      </w:r>
    </w:p>
    <w:p>
      <w:pPr>
        <w:keepNext w:val="0"/>
        <w:keepLines w:val="0"/>
        <w:pageBreakBefore w:val="0"/>
        <w:widowControl/>
        <w:kinsoku/>
        <w:wordWrap/>
        <w:overflowPunct/>
        <w:topLinePunct w:val="0"/>
        <w:autoSpaceDE/>
        <w:autoSpaceDN/>
        <w:bidi w:val="0"/>
        <w:spacing w:line="560" w:lineRule="exact"/>
        <w:ind w:left="0" w:leftChars="0" w:right="0" w:rightChars="0" w:firstLine="632" w:firstLineChars="200"/>
        <w:jc w:val="left"/>
        <w:textAlignment w:val="auto"/>
        <w:outlineLvl w:val="9"/>
        <w:rPr>
          <w:rFonts w:hint="eastAsia" w:ascii="仿宋_GB2312" w:hAnsi="仿宋_GB2312" w:eastAsia="仿宋_GB2312" w:cs="仿宋_GB2312"/>
          <w:color w:val="000000"/>
          <w:kern w:val="0"/>
          <w:szCs w:val="32"/>
        </w:rPr>
      </w:pPr>
      <w:r>
        <w:rPr>
          <w:rFonts w:hint="eastAsia" w:ascii="仿宋_GB2312" w:hAnsi="仿宋_GB2312" w:eastAsia="仿宋_GB2312" w:cs="仿宋_GB2312"/>
          <w:szCs w:val="32"/>
        </w:rPr>
        <w:t>（三）全面分析论证</w:t>
      </w:r>
      <w:r>
        <w:rPr>
          <w:rFonts w:hint="eastAsia" w:ascii="仿宋_GB2312" w:hAnsi="仿宋_GB2312" w:eastAsia="仿宋_GB2312" w:cs="仿宋_GB2312"/>
          <w:color w:val="000000"/>
          <w:kern w:val="0"/>
          <w:szCs w:val="32"/>
        </w:rPr>
        <w:t>。对收集的相关资料组织有关部门和专家进行综合分析研究，查找风险点，运用定性分析和定量分析等方法，对决策实施的风险进行科学预测、综合研判；</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（四）确定风险等级。根据分析论证情况，确定高风险、中风险、低风险三个风险等级；</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 xml:space="preserve"> （五）形成风险评估报告。</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szCs w:val="32"/>
        </w:rPr>
      </w:pPr>
      <w:r>
        <w:rPr>
          <w:rFonts w:hint="eastAsia" w:ascii="黑体" w:hAnsi="黑体" w:eastAsia="黑体" w:cs="黑体"/>
          <w:kern w:val="0"/>
          <w:szCs w:val="32"/>
        </w:rPr>
        <w:t>第四十条</w:t>
      </w:r>
      <w:bookmarkEnd w:id="12"/>
      <w:r>
        <w:rPr>
          <w:rFonts w:hint="eastAsia" w:ascii="楷体" w:hAnsi="楷体" w:eastAsia="楷体" w:cs="宋体"/>
          <w:kern w:val="0"/>
          <w:szCs w:val="32"/>
        </w:rPr>
        <w:t xml:space="preserve">【风险评估报告】 </w:t>
      </w:r>
      <w:r>
        <w:rPr>
          <w:rFonts w:hint="eastAsia" w:ascii="仿宋_GB2312" w:hAnsi="仿宋_GB2312" w:eastAsia="仿宋_GB2312" w:cs="仿宋_GB2312"/>
          <w:szCs w:val="32"/>
        </w:rPr>
        <w:t>风险评估报告应当包括下列内容： 　　</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rPr>
        <w:t>（一）评估事项和评估过程； 　　</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rPr>
        <w:t>（二）各方意见及其采纳情况； 　　</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rPr>
        <w:t>（三）决策可能引发的风险； 　　</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rPr>
        <w:t>（四）风险评估结果； 　　</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rPr>
        <w:t>（五）风险防范措施和处置预案；</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rPr>
        <w:t>（六）其他需要载明的内容。</w:t>
      </w:r>
    </w:p>
    <w:p>
      <w:pPr>
        <w:keepNext w:val="0"/>
        <w:keepLines w:val="0"/>
        <w:pageBreakBefore w:val="0"/>
        <w:widowControl/>
        <w:kinsoku/>
        <w:wordWrap/>
        <w:overflowPunct/>
        <w:topLinePunct w:val="0"/>
        <w:autoSpaceDE/>
        <w:autoSpaceDN/>
        <w:bidi w:val="0"/>
        <w:spacing w:line="560" w:lineRule="exact"/>
        <w:ind w:left="0" w:leftChars="0" w:right="0" w:rightChars="0" w:firstLine="632" w:firstLineChars="200"/>
        <w:jc w:val="left"/>
        <w:textAlignment w:val="auto"/>
        <w:outlineLvl w:val="9"/>
        <w:rPr>
          <w:rFonts w:hint="eastAsia" w:ascii="仿宋_GB2312" w:hAnsi="仿宋_GB2312" w:eastAsia="仿宋_GB2312" w:cs="仿宋_GB2312"/>
          <w:color w:val="000000"/>
          <w:kern w:val="0"/>
          <w:szCs w:val="32"/>
        </w:rPr>
      </w:pPr>
      <w:bookmarkStart w:id="13" w:name="29"/>
      <w:r>
        <w:rPr>
          <w:rFonts w:hint="eastAsia" w:ascii="黑体" w:hAnsi="黑体" w:eastAsia="黑体" w:cs="黑体"/>
          <w:kern w:val="0"/>
          <w:szCs w:val="32"/>
        </w:rPr>
        <w:t>第四十一条</w:t>
      </w:r>
      <w:bookmarkEnd w:id="13"/>
      <w:r>
        <w:rPr>
          <w:rFonts w:hint="eastAsia" w:ascii="楷体" w:hAnsi="楷体" w:eastAsia="楷体" w:cs="宋体"/>
          <w:kern w:val="0"/>
          <w:szCs w:val="32"/>
        </w:rPr>
        <w:t xml:space="preserve">【风险评估结果运用】 </w:t>
      </w:r>
      <w:r>
        <w:rPr>
          <w:rFonts w:hint="eastAsia" w:ascii="仿宋_GB2312" w:hAnsi="仿宋_GB2312" w:eastAsia="仿宋_GB2312" w:cs="仿宋_GB2312"/>
          <w:kern w:val="0"/>
          <w:szCs w:val="32"/>
        </w:rPr>
        <w:t>风险评估结果应当作为重大行政决策的重要依据。</w:t>
      </w:r>
      <w:r>
        <w:rPr>
          <w:rFonts w:hint="eastAsia" w:ascii="仿宋_GB2312" w:hAnsi="仿宋_GB2312" w:eastAsia="仿宋_GB2312" w:cs="仿宋_GB2312"/>
          <w:color w:val="000000"/>
          <w:kern w:val="0"/>
          <w:szCs w:val="32"/>
        </w:rPr>
        <w:t>决策草案说明应当对开展风险评估情况作出说明并附风险评估报告。</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color w:val="000000" w:themeColor="text1"/>
          <w:kern w:val="0"/>
          <w:szCs w:val="32"/>
        </w:rPr>
      </w:pPr>
      <w:r>
        <w:rPr>
          <w:rFonts w:hint="eastAsia" w:ascii="仿宋_GB2312" w:hAnsi="仿宋_GB2312" w:eastAsia="仿宋_GB2312" w:cs="仿宋_GB2312"/>
          <w:kern w:val="0"/>
          <w:szCs w:val="32"/>
        </w:rPr>
        <w:t>决策承办单位可以根据风险评估结果，</w:t>
      </w:r>
      <w:r>
        <w:rPr>
          <w:rFonts w:hint="eastAsia" w:ascii="仿宋_GB2312" w:hAnsi="仿宋_GB2312" w:eastAsia="仿宋_GB2312" w:cs="仿宋_GB2312"/>
          <w:color w:val="000000" w:themeColor="text1"/>
          <w:kern w:val="0"/>
          <w:szCs w:val="32"/>
        </w:rPr>
        <w:t>调整决策草案、降低风险等级后再提交决策机关。</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color w:val="000000" w:themeColor="text1"/>
          <w:kern w:val="0"/>
          <w:szCs w:val="32"/>
        </w:rPr>
      </w:pPr>
      <w:r>
        <w:rPr>
          <w:rFonts w:hint="eastAsia" w:ascii="仿宋_GB2312" w:hAnsi="仿宋_GB2312" w:eastAsia="仿宋_GB2312" w:cs="仿宋_GB2312"/>
          <w:color w:val="000000" w:themeColor="text1"/>
          <w:kern w:val="0"/>
          <w:szCs w:val="32"/>
        </w:rPr>
        <w:t>决策机关认为风险可控的，可以作出决策；认为不可控的，在采取调整决策草案等措施确保风险可控后，可以作出决策。</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jc w:val="center"/>
        <w:textAlignment w:val="auto"/>
        <w:outlineLvl w:val="9"/>
        <w:rPr>
          <w:rFonts w:ascii="宋体" w:hAnsi="宋体" w:eastAsia="宋体" w:cs="宋体"/>
          <w:b/>
          <w:kern w:val="0"/>
          <w:szCs w:val="32"/>
        </w:rPr>
      </w:pP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eastAsia" w:ascii="宋体" w:hAnsi="宋体" w:eastAsia="宋体" w:cs="宋体"/>
          <w:b/>
          <w:kern w:val="0"/>
          <w:szCs w:val="32"/>
          <w:lang w:eastAsia="zh-CN"/>
        </w:rPr>
      </w:pPr>
      <w:r>
        <w:rPr>
          <w:rFonts w:hint="eastAsia" w:ascii="宋体" w:hAnsi="宋体" w:eastAsia="宋体" w:cs="宋体"/>
          <w:b/>
          <w:kern w:val="0"/>
          <w:szCs w:val="32"/>
          <w:lang w:eastAsia="zh-CN"/>
        </w:rPr>
        <w:t>第三章　合法性审查</w:t>
      </w:r>
      <w:bookmarkStart w:id="14" w:name="30"/>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ascii="宋体" w:hAnsi="宋体" w:eastAsia="宋体" w:cs="宋体"/>
          <w:b/>
          <w:kern w:val="0"/>
          <w:szCs w:val="32"/>
        </w:rPr>
      </w:pPr>
    </w:p>
    <w:p>
      <w:pPr>
        <w:keepNext w:val="0"/>
        <w:keepLines w:val="0"/>
        <w:pageBreakBefore w:val="0"/>
        <w:widowControl/>
        <w:kinsoku/>
        <w:wordWrap/>
        <w:overflowPunct/>
        <w:topLinePunct w:val="0"/>
        <w:autoSpaceDE/>
        <w:autoSpaceDN/>
        <w:bidi w:val="0"/>
        <w:spacing w:line="560" w:lineRule="exact"/>
        <w:ind w:left="0" w:leftChars="0" w:right="0" w:rightChars="0" w:firstLine="632" w:firstLineChars="200"/>
        <w:jc w:val="left"/>
        <w:textAlignment w:val="auto"/>
        <w:outlineLvl w:val="9"/>
        <w:rPr>
          <w:rFonts w:hint="eastAsia" w:ascii="仿宋_GB2312" w:hAnsi="仿宋_GB2312" w:eastAsia="仿宋_GB2312" w:cs="仿宋_GB2312"/>
          <w:color w:val="000000"/>
          <w:kern w:val="0"/>
          <w:szCs w:val="32"/>
        </w:rPr>
      </w:pPr>
      <w:r>
        <w:rPr>
          <w:rFonts w:hint="eastAsia" w:ascii="黑体" w:hAnsi="黑体" w:eastAsia="黑体" w:cs="黑体"/>
          <w:kern w:val="0"/>
          <w:szCs w:val="32"/>
        </w:rPr>
        <w:t>第四十二条</w:t>
      </w:r>
      <w:bookmarkEnd w:id="14"/>
      <w:r>
        <w:rPr>
          <w:rFonts w:hint="eastAsia" w:ascii="楷体" w:hAnsi="楷体" w:eastAsia="楷体" w:cs="宋体"/>
          <w:kern w:val="0"/>
          <w:szCs w:val="32"/>
        </w:rPr>
        <w:t xml:space="preserve">【一般规定】 </w:t>
      </w:r>
      <w:r>
        <w:rPr>
          <w:rFonts w:hint="eastAsia" w:ascii="仿宋_GB2312" w:hAnsi="仿宋_GB2312" w:eastAsia="仿宋_GB2312" w:cs="仿宋_GB2312"/>
          <w:kern w:val="0"/>
          <w:szCs w:val="32"/>
        </w:rPr>
        <w:t xml:space="preserve"> </w:t>
      </w:r>
      <w:r>
        <w:rPr>
          <w:rFonts w:hint="eastAsia" w:ascii="仿宋_GB2312" w:hAnsi="仿宋_GB2312" w:eastAsia="仿宋_GB2312" w:cs="仿宋_GB2312"/>
          <w:color w:val="000000"/>
          <w:kern w:val="0"/>
          <w:szCs w:val="32"/>
        </w:rPr>
        <w:t>决策承办单位应当在履行公众参与、专家论证、风险评估等法定程序，并经本单位法制工作机构进行合法性初审和部门会签后，将决策草案及相关材料径送同级政府司法行政机关进行合法性审查。</w:t>
      </w:r>
    </w:p>
    <w:p>
      <w:pPr>
        <w:keepNext w:val="0"/>
        <w:keepLines w:val="0"/>
        <w:pageBreakBefore w:val="0"/>
        <w:widowControl/>
        <w:kinsoku/>
        <w:wordWrap/>
        <w:overflowPunct/>
        <w:topLinePunct w:val="0"/>
        <w:autoSpaceDE/>
        <w:autoSpaceDN/>
        <w:bidi w:val="0"/>
        <w:spacing w:line="560" w:lineRule="exact"/>
        <w:ind w:left="0" w:leftChars="0" w:right="0" w:rightChars="0" w:firstLine="632" w:firstLineChars="200"/>
        <w:jc w:val="left"/>
        <w:textAlignment w:val="auto"/>
        <w:outlineLvl w:val="9"/>
        <w:rPr>
          <w:rFonts w:hint="eastAsia" w:ascii="仿宋_GB2312" w:hAnsi="仿宋_GB2312" w:eastAsia="仿宋_GB2312" w:cs="仿宋_GB2312"/>
          <w:color w:val="000000"/>
          <w:kern w:val="0"/>
          <w:szCs w:val="32"/>
        </w:rPr>
      </w:pPr>
      <w:r>
        <w:rPr>
          <w:rFonts w:hint="eastAsia" w:ascii="仿宋_GB2312" w:hAnsi="仿宋_GB2312" w:eastAsia="仿宋_GB2312" w:cs="仿宋_GB2312"/>
          <w:color w:val="000000"/>
          <w:kern w:val="0"/>
          <w:szCs w:val="32"/>
        </w:rPr>
        <w:t>决策草案未经合法性审查或者经审查不合法的，不得提交决策机关讨论。</w:t>
      </w:r>
    </w:p>
    <w:p>
      <w:pPr>
        <w:keepNext w:val="0"/>
        <w:keepLines w:val="0"/>
        <w:pageBreakBefore w:val="0"/>
        <w:widowControl/>
        <w:kinsoku/>
        <w:wordWrap/>
        <w:overflowPunct/>
        <w:topLinePunct w:val="0"/>
        <w:autoSpaceDE/>
        <w:autoSpaceDN/>
        <w:bidi w:val="0"/>
        <w:spacing w:line="560" w:lineRule="exact"/>
        <w:ind w:left="0" w:leftChars="0" w:right="0" w:rightChars="0" w:firstLine="632" w:firstLineChars="200"/>
        <w:jc w:val="left"/>
        <w:textAlignment w:val="auto"/>
        <w:outlineLvl w:val="9"/>
        <w:rPr>
          <w:rFonts w:hint="eastAsia" w:ascii="仿宋_GB2312" w:hAnsi="仿宋_GB2312" w:eastAsia="仿宋_GB2312" w:cs="仿宋_GB2312"/>
          <w:color w:val="000000"/>
          <w:kern w:val="0"/>
          <w:szCs w:val="32"/>
        </w:rPr>
      </w:pPr>
      <w:r>
        <w:rPr>
          <w:rFonts w:hint="eastAsia" w:ascii="仿宋_GB2312" w:hAnsi="仿宋_GB2312" w:eastAsia="仿宋_GB2312" w:cs="仿宋_GB2312"/>
          <w:color w:val="000000"/>
          <w:kern w:val="0"/>
          <w:szCs w:val="32"/>
        </w:rPr>
        <w:t>决策承办单位在调研起草、征求意见、组织论证、风险评估、部门会签过程中转请司法行政机关进行合法性审查的，不予办理；就涉及的某些重大问题征求意见的，司法行政机关可以采取适当方式予以指导，但不得以征求意见等方式代替合法性审查。</w:t>
      </w:r>
    </w:p>
    <w:p>
      <w:pPr>
        <w:keepNext w:val="0"/>
        <w:keepLines w:val="0"/>
        <w:pageBreakBefore w:val="0"/>
        <w:widowControl/>
        <w:kinsoku/>
        <w:wordWrap/>
        <w:overflowPunct/>
        <w:topLinePunct w:val="0"/>
        <w:autoSpaceDE/>
        <w:autoSpaceDN/>
        <w:bidi w:val="0"/>
        <w:spacing w:line="560" w:lineRule="exact"/>
        <w:ind w:left="0" w:leftChars="0" w:right="0" w:rightChars="0" w:firstLine="632" w:firstLineChars="200"/>
        <w:jc w:val="left"/>
        <w:textAlignment w:val="auto"/>
        <w:outlineLvl w:val="9"/>
        <w:rPr>
          <w:rFonts w:hint="eastAsia" w:ascii="仿宋_GB2312" w:hAnsi="仿宋_GB2312" w:eastAsia="仿宋_GB2312" w:cs="仿宋_GB2312"/>
          <w:color w:val="000000"/>
          <w:kern w:val="0"/>
          <w:szCs w:val="32"/>
        </w:rPr>
      </w:pPr>
      <w:bookmarkStart w:id="15" w:name="31"/>
      <w:r>
        <w:rPr>
          <w:rFonts w:hint="eastAsia" w:ascii="黑体" w:hAnsi="黑体" w:eastAsia="黑体" w:cs="黑体"/>
          <w:kern w:val="0"/>
          <w:szCs w:val="32"/>
        </w:rPr>
        <w:t>第四十三条</w:t>
      </w:r>
      <w:bookmarkEnd w:id="15"/>
      <w:r>
        <w:rPr>
          <w:rFonts w:hint="eastAsia" w:ascii="楷体" w:hAnsi="楷体" w:eastAsia="楷体" w:cs="宋体"/>
          <w:kern w:val="0"/>
          <w:szCs w:val="32"/>
        </w:rPr>
        <w:t xml:space="preserve">【合法性审查材料】  </w:t>
      </w:r>
      <w:r>
        <w:rPr>
          <w:rFonts w:hint="eastAsia" w:ascii="仿宋_GB2312" w:hAnsi="仿宋_GB2312" w:eastAsia="仿宋_GB2312" w:cs="仿宋_GB2312"/>
          <w:color w:val="000000"/>
          <w:kern w:val="0"/>
          <w:szCs w:val="32"/>
        </w:rPr>
        <w:t>决策承办单位</w:t>
      </w:r>
      <w:r>
        <w:rPr>
          <w:rFonts w:hint="eastAsia" w:ascii="仿宋_GB2312" w:hAnsi="仿宋_GB2312" w:eastAsia="仿宋_GB2312" w:cs="仿宋_GB2312"/>
          <w:kern w:val="0"/>
          <w:szCs w:val="32"/>
        </w:rPr>
        <w:t>送请合法性审查，应当提供下列材料，</w:t>
      </w:r>
      <w:r>
        <w:rPr>
          <w:rFonts w:hint="eastAsia" w:ascii="仿宋_GB2312" w:hAnsi="仿宋_GB2312" w:eastAsia="仿宋_GB2312" w:cs="仿宋_GB2312"/>
          <w:color w:val="000000"/>
          <w:kern w:val="0"/>
          <w:szCs w:val="32"/>
        </w:rPr>
        <w:t>并对材料的真实性、完整性负责：</w:t>
      </w:r>
    </w:p>
    <w:p>
      <w:pPr>
        <w:keepNext w:val="0"/>
        <w:keepLines w:val="0"/>
        <w:pageBreakBefore w:val="0"/>
        <w:widowControl/>
        <w:kinsoku/>
        <w:wordWrap/>
        <w:overflowPunct/>
        <w:topLinePunct w:val="0"/>
        <w:autoSpaceDE/>
        <w:autoSpaceDN/>
        <w:bidi w:val="0"/>
        <w:spacing w:line="560" w:lineRule="exact"/>
        <w:ind w:left="0" w:leftChars="0" w:right="0" w:rightChars="0" w:firstLine="632" w:firstLineChars="200"/>
        <w:jc w:val="left"/>
        <w:textAlignment w:val="auto"/>
        <w:outlineLvl w:val="9"/>
        <w:rPr>
          <w:rFonts w:hint="eastAsia" w:ascii="仿宋_GB2312" w:hAnsi="仿宋_GB2312" w:eastAsia="仿宋_GB2312" w:cs="仿宋_GB2312"/>
          <w:color w:val="000000"/>
          <w:kern w:val="0"/>
          <w:szCs w:val="32"/>
        </w:rPr>
      </w:pPr>
      <w:r>
        <w:rPr>
          <w:rFonts w:hint="eastAsia" w:ascii="仿宋_GB2312" w:hAnsi="仿宋_GB2312" w:eastAsia="仿宋_GB2312" w:cs="仿宋_GB2312"/>
          <w:color w:val="000000"/>
          <w:kern w:val="0"/>
          <w:szCs w:val="32"/>
        </w:rPr>
        <w:t>（一）送审申请书；</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rPr>
        <w:t>（二）决策草案；</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rPr>
        <w:t>（三）包含制定背景、必要性、可行性和过程的起草说明； 　　</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rPr>
        <w:t xml:space="preserve">（四）有关法律、法规、规章和政策依据目录及文本； 　 　 </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color w:val="222222"/>
          <w:szCs w:val="32"/>
          <w:shd w:val="clear" w:color="auto" w:fill="FFFFFF"/>
        </w:rPr>
      </w:pPr>
      <w:r>
        <w:rPr>
          <w:rFonts w:hint="eastAsia" w:ascii="仿宋_GB2312" w:hAnsi="仿宋_GB2312" w:eastAsia="仿宋_GB2312" w:cs="仿宋_GB2312"/>
          <w:color w:val="222222"/>
          <w:szCs w:val="32"/>
          <w:shd w:val="clear" w:color="auto" w:fill="FFFFFF"/>
        </w:rPr>
        <w:t>（五）公众意见研究采纳情况报告；</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rPr>
        <w:t>（六）</w:t>
      </w:r>
      <w:r>
        <w:rPr>
          <w:rFonts w:hint="eastAsia" w:ascii="仿宋_GB2312" w:hAnsi="仿宋_GB2312" w:eastAsia="仿宋_GB2312" w:cs="仿宋_GB2312"/>
          <w:color w:val="000000"/>
          <w:kern w:val="0"/>
          <w:szCs w:val="32"/>
        </w:rPr>
        <w:t>部门会签意见；</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color w:val="000000"/>
          <w:kern w:val="0"/>
          <w:szCs w:val="32"/>
        </w:rPr>
        <w:t>（七）合法性初审意见书；</w:t>
      </w:r>
      <w:r>
        <w:rPr>
          <w:rFonts w:hint="eastAsia" w:ascii="仿宋_GB2312" w:hAnsi="仿宋_GB2312" w:eastAsia="仿宋_GB2312" w:cs="仿宋_GB2312"/>
          <w:kern w:val="0"/>
          <w:szCs w:val="32"/>
        </w:rPr>
        <w:t xml:space="preserve"> 　　</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rPr>
        <w:t>（八）进行合法性审查需要的其他材料。</w:t>
      </w:r>
    </w:p>
    <w:p>
      <w:pPr>
        <w:keepNext w:val="0"/>
        <w:keepLines w:val="0"/>
        <w:pageBreakBefore w:val="0"/>
        <w:widowControl/>
        <w:kinsoku/>
        <w:wordWrap/>
        <w:overflowPunct/>
        <w:topLinePunct w:val="0"/>
        <w:autoSpaceDE/>
        <w:autoSpaceDN/>
        <w:bidi w:val="0"/>
        <w:spacing w:line="560" w:lineRule="exact"/>
        <w:ind w:left="0" w:leftChars="0" w:right="0" w:rightChars="0" w:firstLine="632" w:firstLineChars="200"/>
        <w:jc w:val="left"/>
        <w:textAlignment w:val="auto"/>
        <w:outlineLvl w:val="9"/>
        <w:rPr>
          <w:rFonts w:hint="eastAsia" w:ascii="仿宋_GB2312" w:hAnsi="仿宋_GB2312" w:eastAsia="仿宋_GB2312" w:cs="仿宋_GB2312"/>
          <w:color w:val="000000"/>
          <w:kern w:val="0"/>
          <w:szCs w:val="32"/>
        </w:rPr>
      </w:pPr>
      <w:r>
        <w:rPr>
          <w:rFonts w:hint="eastAsia" w:ascii="仿宋_GB2312" w:hAnsi="仿宋_GB2312" w:eastAsia="仿宋_GB2312" w:cs="仿宋_GB2312"/>
          <w:color w:val="000000"/>
          <w:kern w:val="0"/>
          <w:szCs w:val="32"/>
        </w:rPr>
        <w:t>按规定需要召开听证会或者组织开展专家论证、风险评估、公平竞争审查、贸易政策合规审查的，应当提供有关书面材料；未履行有关法定程序的，决策承办单位应当在起草说明中说明理由。</w:t>
      </w:r>
    </w:p>
    <w:p>
      <w:pPr>
        <w:keepNext w:val="0"/>
        <w:keepLines w:val="0"/>
        <w:pageBreakBefore w:val="0"/>
        <w:widowControl/>
        <w:kinsoku/>
        <w:wordWrap/>
        <w:overflowPunct/>
        <w:topLinePunct w:val="0"/>
        <w:autoSpaceDE/>
        <w:autoSpaceDN/>
        <w:bidi w:val="0"/>
        <w:spacing w:line="560" w:lineRule="exact"/>
        <w:ind w:left="0" w:leftChars="0" w:right="0" w:rightChars="0" w:firstLine="632" w:firstLineChars="200"/>
        <w:jc w:val="left"/>
        <w:textAlignment w:val="auto"/>
        <w:outlineLvl w:val="9"/>
        <w:rPr>
          <w:rFonts w:hint="eastAsia" w:ascii="仿宋_GB2312" w:hAnsi="仿宋_GB2312" w:eastAsia="仿宋_GB2312" w:cs="仿宋_GB2312"/>
          <w:color w:val="000000"/>
          <w:kern w:val="0"/>
          <w:szCs w:val="32"/>
        </w:rPr>
      </w:pPr>
      <w:bookmarkStart w:id="16" w:name="32"/>
      <w:r>
        <w:rPr>
          <w:rFonts w:hint="eastAsia" w:ascii="仿宋_GB2312" w:hAnsi="仿宋_GB2312" w:eastAsia="仿宋_GB2312" w:cs="仿宋_GB2312"/>
          <w:color w:val="000000"/>
          <w:kern w:val="0"/>
          <w:szCs w:val="32"/>
        </w:rPr>
        <w:t>报送材料不符合要求的，决策承办单位应当在 3 个工作日内补送,补送时间不计算在合法性审查期限内。决策承办单位无法在 3 个工作日内补送或者补送材料仍不符合要求的,司法行政机关可以不予受理。</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kern w:val="0"/>
          <w:szCs w:val="32"/>
        </w:rPr>
      </w:pPr>
      <w:bookmarkStart w:id="17" w:name="33"/>
      <w:r>
        <w:rPr>
          <w:rFonts w:hint="eastAsia" w:ascii="黑体" w:hAnsi="黑体" w:eastAsia="黑体" w:cs="黑体"/>
          <w:kern w:val="0"/>
          <w:szCs w:val="32"/>
        </w:rPr>
        <w:t>第四十四条</w:t>
      </w:r>
      <w:bookmarkEnd w:id="17"/>
      <w:r>
        <w:rPr>
          <w:rFonts w:hint="eastAsia" w:ascii="楷体" w:hAnsi="楷体" w:eastAsia="楷体" w:cs="宋体"/>
          <w:kern w:val="0"/>
          <w:szCs w:val="32"/>
        </w:rPr>
        <w:t xml:space="preserve">【合法性审查内容】 </w:t>
      </w:r>
      <w:r>
        <w:rPr>
          <w:rFonts w:hint="eastAsia" w:ascii="仿宋_GB2312" w:hAnsi="仿宋_GB2312" w:eastAsia="仿宋_GB2312" w:cs="仿宋_GB2312"/>
          <w:kern w:val="0"/>
          <w:szCs w:val="32"/>
        </w:rPr>
        <w:t>司法行政机关应当对决策草案的下列事项进行合法性审查： 　　</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rPr>
        <w:t>（一）决策主体是否合法；</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rPr>
        <w:t>（二）决策事项是否符合法定权限； 　　</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rPr>
        <w:t>（三）决策草案的形成是否符合法定程序； 　　</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rPr>
        <w:t>（四）决策草案内容是否符合有关法律、法规、规章和政策的规定；</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ascii="仿宋" w:hAnsi="仿宋" w:cs="仿宋"/>
          <w:kern w:val="0"/>
          <w:szCs w:val="32"/>
        </w:rPr>
      </w:pPr>
      <w:r>
        <w:rPr>
          <w:rFonts w:hint="eastAsia" w:ascii="仿宋_GB2312" w:hAnsi="仿宋_GB2312" w:eastAsia="仿宋_GB2312" w:cs="仿宋_GB2312"/>
          <w:kern w:val="0"/>
          <w:szCs w:val="32"/>
        </w:rPr>
        <w:t>（五）其他需要进行合法性审查的内容。</w:t>
      </w:r>
    </w:p>
    <w:bookmarkEnd w:id="16"/>
    <w:p>
      <w:pPr>
        <w:keepNext w:val="0"/>
        <w:keepLines w:val="0"/>
        <w:pageBreakBefore w:val="0"/>
        <w:widowControl/>
        <w:kinsoku/>
        <w:wordWrap/>
        <w:overflowPunct/>
        <w:topLinePunct w:val="0"/>
        <w:autoSpaceDE/>
        <w:autoSpaceDN/>
        <w:bidi w:val="0"/>
        <w:spacing w:line="560" w:lineRule="exact"/>
        <w:ind w:left="0" w:leftChars="0" w:right="0" w:rightChars="0" w:firstLine="632" w:firstLineChars="200"/>
        <w:jc w:val="left"/>
        <w:textAlignment w:val="auto"/>
        <w:outlineLvl w:val="9"/>
        <w:rPr>
          <w:rFonts w:hint="eastAsia" w:ascii="仿宋_GB2312" w:hAnsi="仿宋_GB2312" w:eastAsia="仿宋_GB2312" w:cs="仿宋_GB2312"/>
          <w:color w:val="000000"/>
          <w:szCs w:val="32"/>
        </w:rPr>
      </w:pPr>
      <w:bookmarkStart w:id="18" w:name="34"/>
      <w:r>
        <w:rPr>
          <w:rFonts w:hint="eastAsia" w:ascii="黑体" w:hAnsi="黑体" w:eastAsia="黑体" w:cs="黑体"/>
          <w:kern w:val="0"/>
          <w:szCs w:val="32"/>
        </w:rPr>
        <w:t>第四十五条</w:t>
      </w:r>
      <w:bookmarkEnd w:id="18"/>
      <w:r>
        <w:rPr>
          <w:rFonts w:hint="eastAsia" w:ascii="楷体" w:hAnsi="楷体" w:eastAsia="楷体" w:cs="宋体"/>
          <w:kern w:val="0"/>
          <w:szCs w:val="32"/>
        </w:rPr>
        <w:t xml:space="preserve">【合法性审查方式】 </w:t>
      </w:r>
      <w:r>
        <w:rPr>
          <w:rFonts w:hint="eastAsia" w:ascii="仿宋_GB2312" w:hAnsi="仿宋_GB2312" w:eastAsia="仿宋_GB2312" w:cs="仿宋_GB2312"/>
          <w:color w:val="000000"/>
          <w:szCs w:val="32"/>
        </w:rPr>
        <w:t>司法行政机关进行合法性审查，应当组织政府法律顾问、公职律师和有关专家提出法律意见，并根据需要采取下列方式：</w:t>
      </w:r>
    </w:p>
    <w:p>
      <w:pPr>
        <w:keepNext w:val="0"/>
        <w:keepLines w:val="0"/>
        <w:pageBreakBefore w:val="0"/>
        <w:widowControl/>
        <w:numPr>
          <w:ilvl w:val="0"/>
          <w:numId w:val="3"/>
        </w:numPr>
        <w:kinsoku/>
        <w:wordWrap/>
        <w:overflowPunct/>
        <w:topLinePunct w:val="0"/>
        <w:autoSpaceDE/>
        <w:autoSpaceDN/>
        <w:bidi w:val="0"/>
        <w:spacing w:line="560" w:lineRule="exact"/>
        <w:ind w:left="0" w:leftChars="0" w:right="0" w:rightChars="0" w:firstLine="632" w:firstLineChars="200"/>
        <w:jc w:val="left"/>
        <w:textAlignment w:val="auto"/>
        <w:outlineLvl w:val="9"/>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书面审查；</w:t>
      </w:r>
    </w:p>
    <w:p>
      <w:pPr>
        <w:keepNext w:val="0"/>
        <w:keepLines w:val="0"/>
        <w:pageBreakBefore w:val="0"/>
        <w:widowControl/>
        <w:numPr>
          <w:ilvl w:val="0"/>
          <w:numId w:val="3"/>
        </w:numPr>
        <w:kinsoku/>
        <w:wordWrap/>
        <w:overflowPunct/>
        <w:topLinePunct w:val="0"/>
        <w:autoSpaceDE/>
        <w:autoSpaceDN/>
        <w:bidi w:val="0"/>
        <w:spacing w:line="560" w:lineRule="exact"/>
        <w:ind w:left="0" w:leftChars="0" w:right="0" w:rightChars="0" w:firstLine="632" w:firstLineChars="200"/>
        <w:jc w:val="left"/>
        <w:textAlignment w:val="auto"/>
        <w:outlineLvl w:val="9"/>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必要的调查研究；</w:t>
      </w:r>
    </w:p>
    <w:p>
      <w:pPr>
        <w:keepNext w:val="0"/>
        <w:keepLines w:val="0"/>
        <w:pageBreakBefore w:val="0"/>
        <w:widowControl/>
        <w:numPr>
          <w:ilvl w:val="0"/>
          <w:numId w:val="3"/>
        </w:numPr>
        <w:kinsoku/>
        <w:wordWrap/>
        <w:overflowPunct/>
        <w:topLinePunct w:val="0"/>
        <w:autoSpaceDE/>
        <w:autoSpaceDN/>
        <w:bidi w:val="0"/>
        <w:spacing w:line="560" w:lineRule="exact"/>
        <w:ind w:left="0" w:leftChars="0" w:right="0" w:rightChars="0" w:firstLine="632" w:firstLineChars="200"/>
        <w:jc w:val="left"/>
        <w:textAlignment w:val="auto"/>
        <w:outlineLvl w:val="9"/>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通过召开座谈会、听证会、公开征求意见等形式广泛听取社会各方面意见。</w:t>
      </w:r>
    </w:p>
    <w:p>
      <w:pPr>
        <w:keepNext w:val="0"/>
        <w:keepLines w:val="0"/>
        <w:pageBreakBefore w:val="0"/>
        <w:widowControl/>
        <w:kinsoku/>
        <w:wordWrap/>
        <w:overflowPunct/>
        <w:topLinePunct w:val="0"/>
        <w:autoSpaceDE/>
        <w:autoSpaceDN/>
        <w:bidi w:val="0"/>
        <w:spacing w:line="560" w:lineRule="exact"/>
        <w:ind w:left="0" w:leftChars="0" w:right="0" w:rightChars="0" w:firstLine="632" w:firstLineChars="200"/>
        <w:jc w:val="left"/>
        <w:textAlignment w:val="auto"/>
        <w:outlineLvl w:val="9"/>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司法行政机关进行合法性审查的时间，一般不少于7个工作日。开展前款第二项、第三项工作以及组织政府法律顾问、公职律师和有关专家论证的时间，不计算在合法性审查期限内。</w:t>
      </w:r>
    </w:p>
    <w:p>
      <w:pPr>
        <w:keepNext w:val="0"/>
        <w:keepLines w:val="0"/>
        <w:pageBreakBefore w:val="0"/>
        <w:widowControl/>
        <w:kinsoku/>
        <w:wordWrap/>
        <w:overflowPunct/>
        <w:topLinePunct w:val="0"/>
        <w:autoSpaceDE/>
        <w:autoSpaceDN/>
        <w:bidi w:val="0"/>
        <w:spacing w:line="560" w:lineRule="exact"/>
        <w:ind w:left="0" w:leftChars="0" w:right="0" w:rightChars="0" w:firstLine="632" w:firstLineChars="200"/>
        <w:jc w:val="left"/>
        <w:textAlignment w:val="auto"/>
        <w:outlineLvl w:val="9"/>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决策承办单位应当配合司法行政机关做好合法性审查工作，按要求就有关问题作出说明；其他有关部门按照职责做好协作配合。</w:t>
      </w:r>
    </w:p>
    <w:p>
      <w:pPr>
        <w:keepNext w:val="0"/>
        <w:keepLines w:val="0"/>
        <w:pageBreakBefore w:val="0"/>
        <w:widowControl/>
        <w:kinsoku/>
        <w:wordWrap/>
        <w:overflowPunct/>
        <w:topLinePunct w:val="0"/>
        <w:autoSpaceDE/>
        <w:autoSpaceDN/>
        <w:bidi w:val="0"/>
        <w:spacing w:line="560" w:lineRule="exact"/>
        <w:ind w:left="0" w:leftChars="0" w:right="0" w:rightChars="0" w:firstLine="632" w:firstLineChars="200"/>
        <w:jc w:val="left"/>
        <w:textAlignment w:val="auto"/>
        <w:outlineLvl w:val="9"/>
        <w:rPr>
          <w:rFonts w:hint="eastAsia" w:ascii="仿宋_GB2312" w:hAnsi="仿宋_GB2312" w:eastAsia="仿宋_GB2312" w:cs="仿宋_GB2312"/>
          <w:color w:val="000000"/>
          <w:szCs w:val="32"/>
        </w:rPr>
      </w:pPr>
      <w:r>
        <w:rPr>
          <w:rFonts w:hint="eastAsia" w:ascii="黑体" w:hAnsi="黑体" w:eastAsia="黑体" w:cs="黑体"/>
          <w:kern w:val="0"/>
          <w:szCs w:val="32"/>
        </w:rPr>
        <w:t>第四十六条</w:t>
      </w:r>
      <w:r>
        <w:rPr>
          <w:rFonts w:hint="eastAsia" w:ascii="楷体" w:hAnsi="楷体" w:eastAsia="楷体" w:cs="宋体"/>
          <w:kern w:val="0"/>
          <w:szCs w:val="32"/>
        </w:rPr>
        <w:t>【合法性审查发现问题处理】</w:t>
      </w:r>
      <w:r>
        <w:rPr>
          <w:rFonts w:hint="eastAsia" w:ascii="仿宋_GB2312" w:hAnsi="仿宋_GB2312" w:eastAsia="仿宋_GB2312" w:cs="仿宋_GB2312"/>
          <w:kern w:val="0"/>
          <w:szCs w:val="32"/>
        </w:rPr>
        <w:t xml:space="preserve"> </w:t>
      </w:r>
      <w:r>
        <w:rPr>
          <w:rFonts w:hint="eastAsia" w:ascii="仿宋_GB2312" w:hAnsi="仿宋_GB2312" w:eastAsia="仿宋_GB2312" w:cs="仿宋_GB2312"/>
          <w:color w:val="000000"/>
          <w:szCs w:val="32"/>
        </w:rPr>
        <w:t>对审查中发现的问题，司法行政机关按照下列规定处理：</w:t>
      </w:r>
    </w:p>
    <w:p>
      <w:pPr>
        <w:keepNext w:val="0"/>
        <w:keepLines w:val="0"/>
        <w:pageBreakBefore w:val="0"/>
        <w:widowControl/>
        <w:kinsoku/>
        <w:wordWrap/>
        <w:overflowPunct/>
        <w:topLinePunct w:val="0"/>
        <w:autoSpaceDE/>
        <w:autoSpaceDN/>
        <w:bidi w:val="0"/>
        <w:spacing w:line="560" w:lineRule="exact"/>
        <w:ind w:left="0" w:leftChars="0" w:right="0" w:rightChars="0" w:firstLine="632" w:firstLineChars="200"/>
        <w:jc w:val="left"/>
        <w:textAlignment w:val="auto"/>
        <w:outlineLvl w:val="9"/>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（一）不是重大行政决策的，退回起草部门，不予合法性审查；</w:t>
      </w:r>
    </w:p>
    <w:p>
      <w:pPr>
        <w:keepNext w:val="0"/>
        <w:keepLines w:val="0"/>
        <w:pageBreakBefore w:val="0"/>
        <w:widowControl/>
        <w:kinsoku/>
        <w:wordWrap/>
        <w:overflowPunct/>
        <w:topLinePunct w:val="0"/>
        <w:autoSpaceDE/>
        <w:autoSpaceDN/>
        <w:bidi w:val="0"/>
        <w:spacing w:line="560" w:lineRule="exact"/>
        <w:ind w:left="0" w:leftChars="0" w:right="0" w:rightChars="0" w:firstLine="632" w:firstLineChars="200"/>
        <w:jc w:val="left"/>
        <w:textAlignment w:val="auto"/>
        <w:outlineLvl w:val="9"/>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(二)决策主体不合法、超越决策机关法定权限或者主要内容不合法的，建议不提交决策机关讨论；</w:t>
      </w:r>
    </w:p>
    <w:p>
      <w:pPr>
        <w:keepNext w:val="0"/>
        <w:keepLines w:val="0"/>
        <w:pageBreakBefore w:val="0"/>
        <w:widowControl/>
        <w:kinsoku/>
        <w:wordWrap/>
        <w:overflowPunct/>
        <w:topLinePunct w:val="0"/>
        <w:autoSpaceDE/>
        <w:autoSpaceDN/>
        <w:bidi w:val="0"/>
        <w:spacing w:line="560" w:lineRule="exact"/>
        <w:ind w:left="0" w:leftChars="0" w:right="0" w:rightChars="0" w:firstLine="632" w:firstLineChars="200"/>
        <w:jc w:val="left"/>
        <w:textAlignment w:val="auto"/>
        <w:outlineLvl w:val="9"/>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(三)应当履行而未履行公众参与、专家论证、风险评估等程序的，退回决策承办单位补正程序；</w:t>
      </w:r>
    </w:p>
    <w:p>
      <w:pPr>
        <w:keepNext w:val="0"/>
        <w:keepLines w:val="0"/>
        <w:pageBreakBefore w:val="0"/>
        <w:widowControl/>
        <w:kinsoku/>
        <w:wordWrap/>
        <w:overflowPunct/>
        <w:topLinePunct w:val="0"/>
        <w:autoSpaceDE/>
        <w:autoSpaceDN/>
        <w:bidi w:val="0"/>
        <w:spacing w:line="560" w:lineRule="exact"/>
        <w:ind w:left="0" w:leftChars="0" w:right="0" w:rightChars="0" w:firstLine="632" w:firstLineChars="200"/>
        <w:jc w:val="left"/>
        <w:textAlignment w:val="auto"/>
        <w:outlineLvl w:val="9"/>
        <w:rPr>
          <w:rFonts w:ascii="仿宋_GB2312" w:hAnsi="ˎ̥" w:eastAsia="仿宋_GB2312"/>
          <w:color w:val="000000"/>
          <w:szCs w:val="32"/>
        </w:rPr>
      </w:pPr>
      <w:r>
        <w:rPr>
          <w:rFonts w:hint="eastAsia" w:ascii="仿宋_GB2312" w:hAnsi="仿宋_GB2312" w:eastAsia="仿宋_GB2312" w:cs="仿宋_GB2312"/>
          <w:color w:val="000000"/>
          <w:szCs w:val="32"/>
        </w:rPr>
        <w:t>(四)具体规定不合法的，提出相应修改意见。</w:t>
      </w: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bookmarkStart w:id="19" w:name="36"/>
      <w:r>
        <w:rPr>
          <w:rFonts w:hint="eastAsia" w:ascii="黑体" w:hAnsi="黑体" w:eastAsia="黑体" w:cs="黑体"/>
          <w:sz w:val="32"/>
          <w:szCs w:val="32"/>
        </w:rPr>
        <w:t>第四十七条</w:t>
      </w:r>
      <w:bookmarkEnd w:id="19"/>
      <w:r>
        <w:rPr>
          <w:rFonts w:hint="eastAsia" w:ascii="楷体" w:hAnsi="楷体" w:eastAsia="楷体" w:cs="宋体"/>
          <w:sz w:val="32"/>
          <w:szCs w:val="32"/>
        </w:rPr>
        <w:t xml:space="preserve">【出具合法性审查意见书】 </w:t>
      </w:r>
      <w:r>
        <w:rPr>
          <w:rFonts w:hint="eastAsia" w:ascii="仿宋_GB2312" w:hAnsi="仿宋_GB2312" w:eastAsia="仿宋_GB2312" w:cs="仿宋_GB2312"/>
          <w:sz w:val="32"/>
          <w:szCs w:val="32"/>
        </w:rPr>
        <w:t>司法行政机关完成合法性审查工作后，应当出具合法性审查意见书，并对合法性审查意见负责。　</w:t>
      </w:r>
    </w:p>
    <w:p>
      <w:pPr>
        <w:keepNext w:val="0"/>
        <w:keepLines w:val="0"/>
        <w:pageBreakBefore w:val="0"/>
        <w:widowControl/>
        <w:kinsoku/>
        <w:wordWrap/>
        <w:overflowPunct/>
        <w:topLinePunct w:val="0"/>
        <w:autoSpaceDE/>
        <w:autoSpaceDN/>
        <w:bidi w:val="0"/>
        <w:spacing w:line="560" w:lineRule="exact"/>
        <w:ind w:left="0" w:leftChars="0" w:right="0" w:rightChars="0" w:firstLine="632" w:firstLineChars="200"/>
        <w:jc w:val="left"/>
        <w:textAlignment w:val="auto"/>
        <w:outlineLvl w:val="9"/>
        <w:rPr>
          <w:rFonts w:hint="eastAsia" w:ascii="仿宋_GB2312" w:hAnsi="仿宋_GB2312" w:eastAsia="仿宋_GB2312" w:cs="仿宋_GB2312"/>
          <w:color w:val="000000"/>
          <w:szCs w:val="32"/>
        </w:rPr>
      </w:pPr>
      <w:r>
        <w:rPr>
          <w:rFonts w:hint="eastAsia" w:ascii="仿宋_GB2312" w:hAnsi="仿宋_GB2312" w:eastAsia="仿宋_GB2312" w:cs="仿宋_GB2312"/>
          <w:kern w:val="0"/>
          <w:szCs w:val="32"/>
        </w:rPr>
        <w:t>合法性审查意见书</w:t>
      </w:r>
      <w:r>
        <w:rPr>
          <w:rFonts w:hint="eastAsia" w:ascii="仿宋_GB2312" w:hAnsi="仿宋_GB2312" w:eastAsia="仿宋_GB2312" w:cs="仿宋_GB2312"/>
          <w:color w:val="000000"/>
          <w:szCs w:val="32"/>
        </w:rPr>
        <w:t>应当载明下列内容：</w:t>
      </w:r>
    </w:p>
    <w:p>
      <w:pPr>
        <w:keepNext w:val="0"/>
        <w:keepLines w:val="0"/>
        <w:pageBreakBefore w:val="0"/>
        <w:widowControl/>
        <w:kinsoku/>
        <w:wordWrap/>
        <w:overflowPunct/>
        <w:topLinePunct w:val="0"/>
        <w:autoSpaceDE/>
        <w:autoSpaceDN/>
        <w:bidi w:val="0"/>
        <w:spacing w:line="560" w:lineRule="exact"/>
        <w:ind w:left="0" w:leftChars="0" w:right="0" w:rightChars="0" w:firstLine="632" w:firstLineChars="200"/>
        <w:jc w:val="left"/>
        <w:textAlignment w:val="auto"/>
        <w:outlineLvl w:val="9"/>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（一）审查的基本情况；</w:t>
      </w:r>
    </w:p>
    <w:p>
      <w:pPr>
        <w:keepNext w:val="0"/>
        <w:keepLines w:val="0"/>
        <w:pageBreakBefore w:val="0"/>
        <w:widowControl/>
        <w:kinsoku/>
        <w:wordWrap/>
        <w:overflowPunct/>
        <w:topLinePunct w:val="0"/>
        <w:autoSpaceDE/>
        <w:autoSpaceDN/>
        <w:bidi w:val="0"/>
        <w:spacing w:line="560" w:lineRule="exact"/>
        <w:ind w:left="0" w:leftChars="0" w:right="0" w:rightChars="0" w:firstLine="632" w:firstLineChars="200"/>
        <w:jc w:val="left"/>
        <w:textAlignment w:val="auto"/>
        <w:outlineLvl w:val="9"/>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（二）合法性审查结论；</w:t>
      </w:r>
    </w:p>
    <w:p>
      <w:pPr>
        <w:keepNext w:val="0"/>
        <w:keepLines w:val="0"/>
        <w:pageBreakBefore w:val="0"/>
        <w:widowControl/>
        <w:kinsoku/>
        <w:wordWrap/>
        <w:overflowPunct/>
        <w:topLinePunct w:val="0"/>
        <w:autoSpaceDE/>
        <w:autoSpaceDN/>
        <w:bidi w:val="0"/>
        <w:spacing w:line="560" w:lineRule="exact"/>
        <w:ind w:left="0" w:leftChars="0" w:right="0" w:rightChars="0" w:firstLine="632" w:firstLineChars="200"/>
        <w:jc w:val="left"/>
        <w:textAlignment w:val="auto"/>
        <w:outlineLvl w:val="9"/>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（三）存在合法性问题或者法律风险的，说明理由、明示法律风险，并根据情况提出修改意见和建议。</w:t>
      </w:r>
    </w:p>
    <w:p>
      <w:pPr>
        <w:keepNext w:val="0"/>
        <w:keepLines w:val="0"/>
        <w:pageBreakBefore w:val="0"/>
        <w:widowControl/>
        <w:kinsoku/>
        <w:wordWrap/>
        <w:overflowPunct/>
        <w:topLinePunct w:val="0"/>
        <w:autoSpaceDE/>
        <w:autoSpaceDN/>
        <w:bidi w:val="0"/>
        <w:spacing w:line="560" w:lineRule="exact"/>
        <w:ind w:left="0" w:leftChars="0" w:right="0" w:rightChars="0" w:firstLine="632" w:firstLineChars="200"/>
        <w:jc w:val="left"/>
        <w:textAlignment w:val="auto"/>
        <w:outlineLvl w:val="9"/>
        <w:rPr>
          <w:rFonts w:hint="eastAsia" w:ascii="仿宋_GB2312" w:hAnsi="仿宋_GB2312" w:eastAsia="仿宋_GB2312" w:cs="仿宋_GB2312"/>
          <w:color w:val="000000"/>
          <w:szCs w:val="32"/>
        </w:rPr>
      </w:pPr>
      <w:bookmarkStart w:id="20" w:name="37"/>
      <w:r>
        <w:rPr>
          <w:rFonts w:hint="eastAsia" w:ascii="黑体" w:hAnsi="黑体" w:eastAsia="黑体" w:cs="黑体"/>
          <w:kern w:val="0"/>
          <w:szCs w:val="32"/>
        </w:rPr>
        <w:t>第四十八条</w:t>
      </w:r>
      <w:bookmarkEnd w:id="20"/>
      <w:r>
        <w:rPr>
          <w:rFonts w:hint="eastAsia" w:ascii="楷体" w:hAnsi="楷体" w:eastAsia="楷体" w:cs="微软雅黑"/>
          <w:kern w:val="0"/>
          <w:szCs w:val="32"/>
        </w:rPr>
        <w:t xml:space="preserve">【合法性审查意见运用】 </w:t>
      </w:r>
      <w:r>
        <w:rPr>
          <w:rFonts w:hint="eastAsia" w:ascii="仿宋_GB2312" w:hAnsi="仿宋_GB2312" w:eastAsia="仿宋_GB2312" w:cs="仿宋_GB2312"/>
          <w:color w:val="000000"/>
          <w:szCs w:val="32"/>
        </w:rPr>
        <w:t>决策承办单位应当对合法性审查意见进行认真研究，根据审查意见对决策草案进行修改或者补充；未采纳或者未完全采纳审查意见的，应当向决策机关书面说明理由。</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ascii="宋体" w:hAnsi="宋体" w:eastAsia="宋体" w:cs="宋体"/>
          <w:kern w:val="0"/>
          <w:szCs w:val="32"/>
        </w:rPr>
      </w:pP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eastAsia" w:ascii="宋体" w:hAnsi="宋体" w:eastAsia="宋体" w:cs="宋体"/>
          <w:b/>
          <w:kern w:val="0"/>
          <w:szCs w:val="32"/>
          <w:lang w:eastAsia="zh-CN"/>
        </w:rPr>
      </w:pPr>
      <w:r>
        <w:rPr>
          <w:rFonts w:hint="eastAsia" w:ascii="宋体" w:hAnsi="宋体" w:eastAsia="宋体" w:cs="宋体"/>
          <w:b/>
          <w:kern w:val="0"/>
          <w:szCs w:val="32"/>
          <w:lang w:eastAsia="zh-CN"/>
        </w:rPr>
        <w:t>第四章　集体讨论决定和决策公布</w:t>
      </w:r>
      <w:bookmarkStart w:id="21" w:name="39"/>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ascii="宋体" w:hAnsi="宋体" w:eastAsia="宋体" w:cs="宋体"/>
          <w:b/>
          <w:kern w:val="0"/>
          <w:szCs w:val="32"/>
        </w:rPr>
      </w:pP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ascii="仿宋" w:hAnsi="仿宋" w:cs="仿宋"/>
          <w:kern w:val="0"/>
          <w:szCs w:val="32"/>
        </w:rPr>
      </w:pPr>
      <w:r>
        <w:rPr>
          <w:rFonts w:hint="eastAsia" w:ascii="黑体" w:hAnsi="黑体" w:eastAsia="黑体" w:cs="黑体"/>
          <w:kern w:val="0"/>
          <w:szCs w:val="32"/>
        </w:rPr>
        <w:t>第四十九条</w:t>
      </w:r>
      <w:bookmarkEnd w:id="21"/>
      <w:r>
        <w:rPr>
          <w:rFonts w:hint="eastAsia" w:ascii="楷体" w:hAnsi="楷体" w:eastAsia="楷体" w:cs="宋体"/>
          <w:bCs/>
          <w:kern w:val="0"/>
          <w:szCs w:val="32"/>
        </w:rPr>
        <w:t>【集体讨论决定】</w:t>
      </w:r>
      <w:r>
        <w:rPr>
          <w:rFonts w:hint="eastAsia" w:ascii="仿宋" w:hAnsi="仿宋" w:cs="仿宋"/>
          <w:bCs/>
          <w:kern w:val="0"/>
          <w:szCs w:val="32"/>
        </w:rPr>
        <w:t xml:space="preserve"> </w:t>
      </w:r>
      <w:r>
        <w:rPr>
          <w:rFonts w:hint="eastAsia" w:ascii="仿宋_GB2312" w:hAnsi="仿宋_GB2312" w:eastAsia="仿宋_GB2312" w:cs="仿宋_GB2312"/>
          <w:kern w:val="0"/>
          <w:szCs w:val="32"/>
        </w:rPr>
        <w:t>决策草案应当经决策机关常务会议或者全体会议讨论，决策机关行政首长在集体讨论的基础上作出决定；</w:t>
      </w:r>
      <w:r>
        <w:rPr>
          <w:rFonts w:hint="eastAsia" w:ascii="仿宋_GB2312" w:hAnsi="仿宋_GB2312" w:eastAsia="仿宋_GB2312" w:cs="仿宋_GB2312"/>
          <w:color w:val="000000"/>
          <w:szCs w:val="32"/>
        </w:rPr>
        <w:t>未经集体讨论的，不得作出决定。</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kern w:val="0"/>
          <w:szCs w:val="32"/>
        </w:rPr>
      </w:pPr>
      <w:bookmarkStart w:id="22" w:name="40"/>
      <w:r>
        <w:rPr>
          <w:rFonts w:hint="eastAsia" w:ascii="黑体" w:hAnsi="黑体" w:eastAsia="黑体" w:cs="黑体"/>
          <w:kern w:val="0"/>
          <w:szCs w:val="32"/>
        </w:rPr>
        <w:t>第五十条</w:t>
      </w:r>
      <w:bookmarkEnd w:id="22"/>
      <w:r>
        <w:rPr>
          <w:rFonts w:hint="eastAsia" w:ascii="楷体" w:hAnsi="楷体" w:eastAsia="楷体" w:cs="宋体"/>
          <w:kern w:val="0"/>
          <w:szCs w:val="32"/>
        </w:rPr>
        <w:t xml:space="preserve">【提交讨论需要报送的材料】 </w:t>
      </w:r>
      <w:r>
        <w:rPr>
          <w:rFonts w:hint="eastAsia" w:ascii="仿宋_GB2312" w:hAnsi="仿宋_GB2312" w:eastAsia="仿宋_GB2312" w:cs="仿宋_GB2312"/>
          <w:kern w:val="0"/>
          <w:szCs w:val="32"/>
        </w:rPr>
        <w:t>决策承办单位提请决策机关讨论决策草案，应当提交下列材料： 　　</w:t>
      </w:r>
    </w:p>
    <w:p>
      <w:pPr>
        <w:keepNext w:val="0"/>
        <w:keepLines w:val="0"/>
        <w:pageBreakBefore w:val="0"/>
        <w:widowControl/>
        <w:kinsoku/>
        <w:wordWrap/>
        <w:overflowPunct/>
        <w:topLinePunct w:val="0"/>
        <w:autoSpaceDE/>
        <w:autoSpaceDN/>
        <w:bidi w:val="0"/>
        <w:spacing w:line="560" w:lineRule="exact"/>
        <w:ind w:left="0" w:leftChars="0" w:right="0" w:rightChars="0" w:firstLine="632" w:firstLineChars="200"/>
        <w:jc w:val="left"/>
        <w:textAlignment w:val="auto"/>
        <w:outlineLvl w:val="9"/>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（一）提请讨论决策草案的请示；</w:t>
      </w:r>
    </w:p>
    <w:p>
      <w:pPr>
        <w:keepNext w:val="0"/>
        <w:keepLines w:val="0"/>
        <w:pageBreakBefore w:val="0"/>
        <w:widowControl/>
        <w:kinsoku/>
        <w:wordWrap/>
        <w:overflowPunct/>
        <w:topLinePunct w:val="0"/>
        <w:autoSpaceDE/>
        <w:autoSpaceDN/>
        <w:bidi w:val="0"/>
        <w:spacing w:line="560" w:lineRule="exact"/>
        <w:ind w:left="0" w:leftChars="0" w:right="0" w:rightChars="0" w:firstLine="632" w:firstLineChars="200"/>
        <w:jc w:val="left"/>
        <w:textAlignment w:val="auto"/>
        <w:outlineLvl w:val="9"/>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（二）决策草案、起草说明及相关材料；</w:t>
      </w:r>
    </w:p>
    <w:p>
      <w:pPr>
        <w:keepNext w:val="0"/>
        <w:keepLines w:val="0"/>
        <w:pageBreakBefore w:val="0"/>
        <w:widowControl/>
        <w:kinsoku/>
        <w:wordWrap/>
        <w:overflowPunct/>
        <w:topLinePunct w:val="0"/>
        <w:autoSpaceDE/>
        <w:autoSpaceDN/>
        <w:bidi w:val="0"/>
        <w:spacing w:line="560" w:lineRule="exact"/>
        <w:ind w:left="0" w:leftChars="0" w:right="0" w:rightChars="0" w:firstLine="632" w:firstLineChars="200"/>
        <w:jc w:val="left"/>
        <w:textAlignment w:val="auto"/>
        <w:outlineLvl w:val="9"/>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（三）履行公众参与程序的，同时报送社会</w:t>
      </w:r>
      <w:r>
        <w:rPr>
          <w:rFonts w:hint="eastAsia" w:ascii="仿宋_GB2312" w:hAnsi="仿宋_GB2312" w:eastAsia="仿宋_GB2312" w:cs="仿宋_GB2312"/>
          <w:color w:val="222222"/>
          <w:szCs w:val="32"/>
          <w:shd w:val="clear" w:color="auto" w:fill="FFFFFF"/>
        </w:rPr>
        <w:t>公众意见研究采纳情况报告；</w:t>
      </w:r>
    </w:p>
    <w:p>
      <w:pPr>
        <w:keepNext w:val="0"/>
        <w:keepLines w:val="0"/>
        <w:pageBreakBefore w:val="0"/>
        <w:widowControl/>
        <w:kinsoku/>
        <w:wordWrap/>
        <w:overflowPunct/>
        <w:topLinePunct w:val="0"/>
        <w:autoSpaceDE/>
        <w:autoSpaceDN/>
        <w:bidi w:val="0"/>
        <w:spacing w:line="560" w:lineRule="exact"/>
        <w:ind w:left="0" w:leftChars="0" w:right="0" w:rightChars="0" w:firstLine="632" w:firstLineChars="200"/>
        <w:jc w:val="left"/>
        <w:textAlignment w:val="auto"/>
        <w:outlineLvl w:val="9"/>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（四）履行专家论证程序的，同时报送专家论证意见研究采纳情况报告；</w:t>
      </w:r>
    </w:p>
    <w:p>
      <w:pPr>
        <w:keepNext w:val="0"/>
        <w:keepLines w:val="0"/>
        <w:pageBreakBefore w:val="0"/>
        <w:widowControl/>
        <w:kinsoku/>
        <w:wordWrap/>
        <w:overflowPunct/>
        <w:topLinePunct w:val="0"/>
        <w:autoSpaceDE/>
        <w:autoSpaceDN/>
        <w:bidi w:val="0"/>
        <w:spacing w:line="560" w:lineRule="exact"/>
        <w:ind w:left="0" w:leftChars="0" w:right="0" w:rightChars="0" w:firstLine="632" w:firstLineChars="200"/>
        <w:jc w:val="left"/>
        <w:textAlignment w:val="auto"/>
        <w:outlineLvl w:val="9"/>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（五）履行风险评估程序的，同时报送风险评估报告等有关材料；</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632"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w:t>
      </w:r>
      <w:r>
        <w:rPr>
          <w:rFonts w:hint="eastAsia" w:ascii="仿宋_GB2312" w:hAnsi="仿宋_GB2312" w:eastAsia="仿宋_GB2312" w:cs="仿宋_GB2312"/>
          <w:color w:val="000000"/>
          <w:kern w:val="2"/>
          <w:sz w:val="32"/>
          <w:szCs w:val="32"/>
        </w:rPr>
        <w:t>按规定进行公平竞争审查、贸易政策合规审查的，</w:t>
      </w:r>
      <w:r>
        <w:rPr>
          <w:rFonts w:hint="eastAsia" w:ascii="仿宋_GB2312" w:hAnsi="仿宋_GB2312" w:eastAsia="仿宋_GB2312" w:cs="仿宋_GB2312"/>
          <w:color w:val="000000"/>
          <w:sz w:val="32"/>
          <w:szCs w:val="32"/>
        </w:rPr>
        <w:t>同时报送公平竞争审查、合规审查的有关材料；</w:t>
      </w:r>
    </w:p>
    <w:p>
      <w:pPr>
        <w:keepNext w:val="0"/>
        <w:keepLines w:val="0"/>
        <w:pageBreakBefore w:val="0"/>
        <w:widowControl/>
        <w:kinsoku/>
        <w:wordWrap/>
        <w:overflowPunct/>
        <w:topLinePunct w:val="0"/>
        <w:autoSpaceDE/>
        <w:autoSpaceDN/>
        <w:bidi w:val="0"/>
        <w:spacing w:line="560" w:lineRule="exact"/>
        <w:ind w:left="0" w:leftChars="0" w:right="0" w:rightChars="0" w:firstLine="632" w:firstLineChars="200"/>
        <w:jc w:val="left"/>
        <w:textAlignment w:val="auto"/>
        <w:outlineLvl w:val="9"/>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（七）司法行政机关的合法性审查意见；</w:t>
      </w:r>
    </w:p>
    <w:p>
      <w:pPr>
        <w:keepNext w:val="0"/>
        <w:keepLines w:val="0"/>
        <w:pageBreakBefore w:val="0"/>
        <w:widowControl/>
        <w:kinsoku/>
        <w:wordWrap/>
        <w:overflowPunct/>
        <w:topLinePunct w:val="0"/>
        <w:autoSpaceDE/>
        <w:autoSpaceDN/>
        <w:bidi w:val="0"/>
        <w:spacing w:line="560" w:lineRule="exact"/>
        <w:ind w:left="0" w:leftChars="0" w:right="0" w:rightChars="0" w:firstLine="632" w:firstLineChars="200"/>
        <w:jc w:val="left"/>
        <w:textAlignment w:val="auto"/>
        <w:outlineLvl w:val="9"/>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 xml:space="preserve">（八）需要报送的其他材料。 </w:t>
      </w:r>
    </w:p>
    <w:p>
      <w:pPr>
        <w:keepNext w:val="0"/>
        <w:keepLines w:val="0"/>
        <w:pageBreakBefore w:val="0"/>
        <w:widowControl/>
        <w:kinsoku/>
        <w:wordWrap/>
        <w:overflowPunct/>
        <w:topLinePunct w:val="0"/>
        <w:autoSpaceDE/>
        <w:autoSpaceDN/>
        <w:bidi w:val="0"/>
        <w:spacing w:line="560" w:lineRule="exact"/>
        <w:ind w:left="0" w:leftChars="0" w:right="0" w:rightChars="0" w:firstLine="632" w:firstLineChars="200"/>
        <w:jc w:val="left"/>
        <w:textAlignment w:val="auto"/>
        <w:outlineLvl w:val="9"/>
        <w:rPr>
          <w:rFonts w:ascii="仿宋_GB2312" w:hAnsi="ˎ̥" w:eastAsia="仿宋_GB2312"/>
          <w:color w:val="000000"/>
          <w:szCs w:val="32"/>
        </w:rPr>
      </w:pPr>
      <w:bookmarkStart w:id="23" w:name="41"/>
      <w:r>
        <w:rPr>
          <w:rFonts w:hint="eastAsia" w:ascii="黑体" w:hAnsi="黑体" w:eastAsia="黑体" w:cs="黑体"/>
          <w:kern w:val="0"/>
          <w:szCs w:val="32"/>
        </w:rPr>
        <w:t>第五十一条</w:t>
      </w:r>
      <w:r>
        <w:rPr>
          <w:rFonts w:hint="eastAsia" w:ascii="仿宋_GB2312" w:hAnsi="ˎ̥" w:eastAsia="仿宋_GB2312"/>
          <w:color w:val="000000"/>
          <w:szCs w:val="32"/>
        </w:rPr>
        <w:t>【办理流程】 决策机关办公厅(室)收到决策承办单位提请决策机关讨论决策草案的请示后，认为可以提交决策机关讨论的，应当将决策草案及相关材料按照程序报决策机关行政首长，由其决定是否提交决策机关常务会议或者全体会议讨论；认为不能提交决策机关讨论的，退回决策承办单位。</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kern w:val="0"/>
          <w:szCs w:val="32"/>
        </w:rPr>
      </w:pPr>
      <w:r>
        <w:rPr>
          <w:rFonts w:hint="eastAsia" w:ascii="黑体" w:hAnsi="黑体" w:eastAsia="黑体" w:cs="黑体"/>
          <w:kern w:val="0"/>
          <w:szCs w:val="32"/>
        </w:rPr>
        <w:t>第五十</w:t>
      </w:r>
      <w:bookmarkEnd w:id="23"/>
      <w:r>
        <w:rPr>
          <w:rFonts w:hint="eastAsia" w:ascii="黑体" w:hAnsi="黑体" w:eastAsia="黑体" w:cs="黑体"/>
          <w:kern w:val="0"/>
          <w:szCs w:val="32"/>
        </w:rPr>
        <w:t>二条</w:t>
      </w:r>
      <w:r>
        <w:rPr>
          <w:rFonts w:hint="eastAsia" w:ascii="楷体" w:hAnsi="楷体" w:eastAsia="楷体" w:cs="微软雅黑"/>
          <w:kern w:val="0"/>
          <w:szCs w:val="32"/>
        </w:rPr>
        <w:t xml:space="preserve">【集体讨论决定程序】 </w:t>
      </w:r>
      <w:r>
        <w:rPr>
          <w:rFonts w:hint="eastAsia" w:ascii="仿宋_GB2312" w:hAnsi="仿宋_GB2312" w:eastAsia="仿宋_GB2312" w:cs="仿宋_GB2312"/>
          <w:color w:val="000000"/>
          <w:szCs w:val="32"/>
        </w:rPr>
        <w:t>决策机关</w:t>
      </w:r>
      <w:r>
        <w:rPr>
          <w:rFonts w:hint="eastAsia" w:ascii="仿宋_GB2312" w:hAnsi="仿宋_GB2312" w:eastAsia="仿宋_GB2312" w:cs="仿宋_GB2312"/>
          <w:color w:val="000000"/>
          <w:kern w:val="0"/>
          <w:szCs w:val="32"/>
        </w:rPr>
        <w:t>常务会议或者全体会议讨论决策草案，按照下列</w:t>
      </w:r>
      <w:r>
        <w:rPr>
          <w:rFonts w:hint="eastAsia" w:ascii="仿宋_GB2312" w:hAnsi="仿宋_GB2312" w:eastAsia="仿宋_GB2312" w:cs="仿宋_GB2312"/>
          <w:kern w:val="0"/>
          <w:szCs w:val="32"/>
        </w:rPr>
        <w:t>程序进行： 　　　</w:t>
      </w:r>
    </w:p>
    <w:p>
      <w:pPr>
        <w:keepNext w:val="0"/>
        <w:keepLines w:val="0"/>
        <w:pageBreakBefore w:val="0"/>
        <w:widowControl/>
        <w:kinsoku/>
        <w:wordWrap/>
        <w:overflowPunct/>
        <w:topLinePunct w:val="0"/>
        <w:autoSpaceDE/>
        <w:autoSpaceDN/>
        <w:bidi w:val="0"/>
        <w:spacing w:line="560" w:lineRule="exact"/>
        <w:ind w:left="0" w:leftChars="0" w:right="0" w:rightChars="0" w:firstLine="632" w:firstLineChars="200"/>
        <w:jc w:val="left"/>
        <w:textAlignment w:val="auto"/>
        <w:outlineLvl w:val="9"/>
        <w:rPr>
          <w:rFonts w:hint="eastAsia" w:ascii="仿宋_GB2312" w:hAnsi="仿宋_GB2312" w:eastAsia="仿宋_GB2312" w:cs="仿宋_GB2312"/>
          <w:color w:val="000000"/>
          <w:kern w:val="0"/>
          <w:szCs w:val="32"/>
        </w:rPr>
      </w:pPr>
      <w:r>
        <w:rPr>
          <w:rFonts w:hint="eastAsia" w:ascii="仿宋_GB2312" w:hAnsi="仿宋_GB2312" w:eastAsia="仿宋_GB2312" w:cs="仿宋_GB2312"/>
          <w:color w:val="000000"/>
          <w:kern w:val="0"/>
          <w:szCs w:val="32"/>
        </w:rPr>
        <w:t>（一）决策承办单位作决策草案说明；</w:t>
      </w:r>
    </w:p>
    <w:p>
      <w:pPr>
        <w:keepNext w:val="0"/>
        <w:keepLines w:val="0"/>
        <w:pageBreakBefore w:val="0"/>
        <w:widowControl/>
        <w:kinsoku/>
        <w:wordWrap/>
        <w:overflowPunct/>
        <w:topLinePunct w:val="0"/>
        <w:autoSpaceDE/>
        <w:autoSpaceDN/>
        <w:bidi w:val="0"/>
        <w:spacing w:line="560" w:lineRule="exact"/>
        <w:ind w:left="0" w:leftChars="0" w:right="0" w:rightChars="0" w:firstLine="632" w:firstLineChars="200"/>
        <w:jc w:val="left"/>
        <w:textAlignment w:val="auto"/>
        <w:outlineLvl w:val="9"/>
        <w:rPr>
          <w:rFonts w:hint="eastAsia" w:ascii="仿宋_GB2312" w:hAnsi="仿宋_GB2312" w:eastAsia="仿宋_GB2312" w:cs="仿宋_GB2312"/>
          <w:color w:val="000000"/>
          <w:kern w:val="0"/>
          <w:szCs w:val="32"/>
        </w:rPr>
      </w:pPr>
      <w:r>
        <w:rPr>
          <w:rFonts w:hint="eastAsia" w:ascii="仿宋_GB2312" w:hAnsi="仿宋_GB2312" w:eastAsia="仿宋_GB2312" w:cs="仿宋_GB2312"/>
          <w:color w:val="000000"/>
          <w:kern w:val="0"/>
          <w:szCs w:val="32"/>
        </w:rPr>
        <w:t>（二）司法行政机关作合法性审查说明；</w:t>
      </w:r>
    </w:p>
    <w:p>
      <w:pPr>
        <w:keepNext w:val="0"/>
        <w:keepLines w:val="0"/>
        <w:pageBreakBefore w:val="0"/>
        <w:widowControl/>
        <w:kinsoku/>
        <w:wordWrap/>
        <w:overflowPunct/>
        <w:topLinePunct w:val="0"/>
        <w:autoSpaceDE/>
        <w:autoSpaceDN/>
        <w:bidi w:val="0"/>
        <w:spacing w:line="560" w:lineRule="exact"/>
        <w:ind w:left="0" w:leftChars="0" w:right="0" w:rightChars="0" w:firstLine="632" w:firstLineChars="200"/>
        <w:jc w:val="left"/>
        <w:textAlignment w:val="auto"/>
        <w:outlineLvl w:val="9"/>
        <w:rPr>
          <w:rFonts w:hint="eastAsia" w:ascii="仿宋_GB2312" w:hAnsi="仿宋_GB2312" w:eastAsia="仿宋_GB2312" w:cs="仿宋_GB2312"/>
          <w:color w:val="000000"/>
          <w:kern w:val="0"/>
          <w:szCs w:val="32"/>
        </w:rPr>
      </w:pPr>
      <w:r>
        <w:rPr>
          <w:rFonts w:hint="eastAsia" w:ascii="仿宋_GB2312" w:hAnsi="仿宋_GB2312" w:eastAsia="仿宋_GB2312" w:cs="仿宋_GB2312"/>
          <w:color w:val="000000"/>
          <w:kern w:val="0"/>
          <w:szCs w:val="32"/>
        </w:rPr>
        <w:t>（三）决策机关分管负责人发表意见；</w:t>
      </w:r>
    </w:p>
    <w:p>
      <w:pPr>
        <w:keepNext w:val="0"/>
        <w:keepLines w:val="0"/>
        <w:pageBreakBefore w:val="0"/>
        <w:widowControl/>
        <w:kinsoku/>
        <w:wordWrap/>
        <w:overflowPunct/>
        <w:topLinePunct w:val="0"/>
        <w:autoSpaceDE/>
        <w:autoSpaceDN/>
        <w:bidi w:val="0"/>
        <w:spacing w:line="560" w:lineRule="exact"/>
        <w:ind w:left="0" w:leftChars="0" w:right="0" w:rightChars="0" w:firstLine="632" w:firstLineChars="200"/>
        <w:jc w:val="lef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color w:val="000000"/>
          <w:kern w:val="0"/>
          <w:szCs w:val="32"/>
        </w:rPr>
        <w:t>（四）会议其他组成人员发表意见；</w:t>
      </w:r>
      <w:r>
        <w:rPr>
          <w:rFonts w:hint="eastAsia" w:ascii="仿宋_GB2312" w:hAnsi="仿宋_GB2312" w:eastAsia="仿宋_GB2312" w:cs="仿宋_GB2312"/>
          <w:kern w:val="0"/>
          <w:szCs w:val="32"/>
        </w:rPr>
        <w:t>　</w:t>
      </w:r>
    </w:p>
    <w:p>
      <w:pPr>
        <w:keepNext w:val="0"/>
        <w:keepLines w:val="0"/>
        <w:pageBreakBefore w:val="0"/>
        <w:widowControl/>
        <w:kinsoku/>
        <w:wordWrap/>
        <w:overflowPunct/>
        <w:topLinePunct w:val="0"/>
        <w:autoSpaceDE/>
        <w:autoSpaceDN/>
        <w:bidi w:val="0"/>
        <w:spacing w:line="560" w:lineRule="exact"/>
        <w:ind w:left="0" w:leftChars="0" w:right="0" w:rightChars="0" w:firstLine="632" w:firstLineChars="200"/>
        <w:jc w:val="left"/>
        <w:textAlignment w:val="auto"/>
        <w:outlineLvl w:val="9"/>
        <w:rPr>
          <w:rFonts w:hint="eastAsia" w:ascii="仿宋_GB2312" w:hAnsi="仿宋_GB2312" w:eastAsia="仿宋_GB2312" w:cs="仿宋_GB2312"/>
          <w:color w:val="000000"/>
          <w:kern w:val="0"/>
          <w:szCs w:val="32"/>
        </w:rPr>
      </w:pPr>
      <w:r>
        <w:rPr>
          <w:rFonts w:hint="eastAsia" w:ascii="仿宋_GB2312" w:hAnsi="仿宋_GB2312" w:eastAsia="仿宋_GB2312" w:cs="仿宋_GB2312"/>
          <w:color w:val="000000"/>
          <w:kern w:val="0"/>
          <w:szCs w:val="32"/>
        </w:rPr>
        <w:t>（五）决策机关行政首长发表意见，作出</w:t>
      </w:r>
      <w:r>
        <w:rPr>
          <w:rFonts w:hint="eastAsia" w:ascii="仿宋_GB2312" w:hAnsi="仿宋_GB2312" w:eastAsia="仿宋_GB2312" w:cs="仿宋_GB2312"/>
          <w:color w:val="000000" w:themeColor="text1"/>
          <w:kern w:val="0"/>
          <w:szCs w:val="32"/>
        </w:rPr>
        <w:t>同意、不同意、修改、暂缓或者再次讨论的决定；</w:t>
      </w:r>
      <w:r>
        <w:rPr>
          <w:rFonts w:hint="eastAsia" w:ascii="仿宋_GB2312" w:hAnsi="仿宋_GB2312" w:eastAsia="仿宋_GB2312" w:cs="仿宋_GB2312"/>
          <w:kern w:val="0"/>
          <w:szCs w:val="32"/>
        </w:rPr>
        <w:t>行政首长拟作出的决定与会议组成人员多数人的意见不一致的，应当在会上说明理由。</w:t>
      </w:r>
    </w:p>
    <w:p>
      <w:pPr>
        <w:keepNext w:val="0"/>
        <w:keepLines w:val="0"/>
        <w:pageBreakBefore w:val="0"/>
        <w:widowControl/>
        <w:kinsoku/>
        <w:wordWrap/>
        <w:overflowPunct/>
        <w:topLinePunct w:val="0"/>
        <w:autoSpaceDE/>
        <w:autoSpaceDN/>
        <w:bidi w:val="0"/>
        <w:spacing w:line="560" w:lineRule="exact"/>
        <w:ind w:left="0" w:leftChars="0" w:right="0" w:rightChars="0" w:firstLine="632" w:firstLineChars="200"/>
        <w:jc w:val="left"/>
        <w:textAlignment w:val="auto"/>
        <w:outlineLvl w:val="9"/>
        <w:rPr>
          <w:rFonts w:hint="eastAsia" w:ascii="仿宋_GB2312" w:hAnsi="仿宋_GB2312" w:eastAsia="仿宋_GB2312" w:cs="仿宋_GB2312"/>
          <w:color w:val="000000" w:themeColor="text1"/>
          <w:kern w:val="0"/>
          <w:szCs w:val="32"/>
        </w:rPr>
      </w:pPr>
      <w:bookmarkStart w:id="24" w:name="42"/>
      <w:r>
        <w:rPr>
          <w:rFonts w:hint="eastAsia" w:ascii="仿宋_GB2312" w:hAnsi="仿宋_GB2312" w:eastAsia="仿宋_GB2312" w:cs="仿宋_GB2312"/>
          <w:color w:val="000000"/>
          <w:kern w:val="0"/>
          <w:szCs w:val="32"/>
        </w:rPr>
        <w:t>集体讨论、决定情况应当如实记录，并形成纪要；对不同意见应当载明。</w:t>
      </w:r>
      <w:bookmarkEnd w:id="24"/>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color w:val="000000" w:themeColor="text1"/>
          <w:kern w:val="0"/>
          <w:szCs w:val="32"/>
        </w:rPr>
      </w:pPr>
      <w:r>
        <w:rPr>
          <w:rFonts w:hint="eastAsia" w:ascii="仿宋_GB2312" w:hAnsi="仿宋_GB2312" w:eastAsia="仿宋_GB2312" w:cs="仿宋_GB2312"/>
          <w:color w:val="000000" w:themeColor="text1"/>
          <w:kern w:val="0"/>
          <w:szCs w:val="32"/>
        </w:rPr>
        <w:t>作出暂缓决定超过1年的，决策方案退出重大行政决策程序。</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kern w:val="0"/>
          <w:szCs w:val="32"/>
        </w:rPr>
      </w:pPr>
      <w:bookmarkStart w:id="25" w:name="43"/>
      <w:r>
        <w:rPr>
          <w:rFonts w:hint="eastAsia" w:ascii="黑体" w:hAnsi="黑体" w:eastAsia="黑体" w:cs="黑体"/>
          <w:kern w:val="0"/>
          <w:szCs w:val="32"/>
        </w:rPr>
        <w:t>第五十三条</w:t>
      </w:r>
      <w:bookmarkEnd w:id="25"/>
      <w:r>
        <w:rPr>
          <w:rFonts w:hint="eastAsia" w:ascii="楷体" w:hAnsi="楷体" w:eastAsia="楷体" w:cs="微软雅黑"/>
          <w:kern w:val="0"/>
          <w:szCs w:val="32"/>
        </w:rPr>
        <w:t xml:space="preserve">【请示报告】 </w:t>
      </w:r>
      <w:r>
        <w:rPr>
          <w:rFonts w:hint="eastAsia" w:ascii="仿宋_GB2312" w:hAnsi="仿宋_GB2312" w:eastAsia="仿宋_GB2312" w:cs="仿宋_GB2312"/>
          <w:kern w:val="0"/>
          <w:szCs w:val="32"/>
        </w:rPr>
        <w:t>重大行政决策出台前应当按照规定向同级党委请示报告。</w:t>
      </w:r>
    </w:p>
    <w:p>
      <w:pPr>
        <w:keepNext w:val="0"/>
        <w:keepLines w:val="0"/>
        <w:pageBreakBefore w:val="0"/>
        <w:widowControl/>
        <w:kinsoku/>
        <w:wordWrap/>
        <w:overflowPunct/>
        <w:topLinePunct w:val="0"/>
        <w:autoSpaceDE/>
        <w:autoSpaceDN/>
        <w:bidi w:val="0"/>
        <w:spacing w:line="560" w:lineRule="exact"/>
        <w:ind w:left="0" w:leftChars="0" w:right="0" w:rightChars="0" w:firstLine="632" w:firstLineChars="200"/>
        <w:jc w:val="left"/>
        <w:textAlignment w:val="auto"/>
        <w:outlineLvl w:val="9"/>
        <w:rPr>
          <w:rFonts w:hint="eastAsia" w:ascii="仿宋_GB2312" w:hAnsi="仿宋_GB2312" w:eastAsia="仿宋_GB2312" w:cs="仿宋_GB2312"/>
          <w:color w:val="000000"/>
          <w:kern w:val="0"/>
          <w:szCs w:val="32"/>
        </w:rPr>
      </w:pPr>
      <w:r>
        <w:rPr>
          <w:rFonts w:hint="eastAsia" w:ascii="仿宋_GB2312" w:hAnsi="仿宋_GB2312" w:eastAsia="仿宋_GB2312" w:cs="仿宋_GB2312"/>
          <w:color w:val="000000"/>
          <w:kern w:val="0"/>
          <w:szCs w:val="32"/>
        </w:rPr>
        <w:t>重大行政决策依法应当提请本级人民代表大会及其常务委员会审议决定，向本级人民代表大会常务委员会报告或者报上级人民政府批准的，按照有关规定办理。</w:t>
      </w:r>
    </w:p>
    <w:p>
      <w:pPr>
        <w:keepNext w:val="0"/>
        <w:keepLines w:val="0"/>
        <w:pageBreakBefore w:val="0"/>
        <w:widowControl/>
        <w:kinsoku/>
        <w:wordWrap/>
        <w:overflowPunct/>
        <w:topLinePunct w:val="0"/>
        <w:autoSpaceDE/>
        <w:autoSpaceDN/>
        <w:bidi w:val="0"/>
        <w:spacing w:line="560" w:lineRule="exact"/>
        <w:ind w:left="0" w:leftChars="0" w:right="0" w:rightChars="0" w:firstLine="632" w:firstLineChars="200"/>
        <w:jc w:val="left"/>
        <w:textAlignment w:val="auto"/>
        <w:outlineLvl w:val="9"/>
        <w:rPr>
          <w:rFonts w:hint="eastAsia" w:ascii="仿宋_GB2312" w:hAnsi="仿宋_GB2312" w:eastAsia="仿宋_GB2312" w:cs="仿宋_GB2312"/>
          <w:color w:val="000000"/>
          <w:kern w:val="0"/>
          <w:szCs w:val="32"/>
        </w:rPr>
      </w:pPr>
      <w:bookmarkStart w:id="26" w:name="44"/>
      <w:r>
        <w:rPr>
          <w:rFonts w:hint="eastAsia" w:ascii="黑体" w:hAnsi="黑体" w:eastAsia="黑体" w:cs="黑体"/>
          <w:kern w:val="0"/>
          <w:szCs w:val="32"/>
        </w:rPr>
        <w:t>第五十四条</w:t>
      </w:r>
      <w:bookmarkEnd w:id="26"/>
      <w:r>
        <w:rPr>
          <w:rFonts w:hint="eastAsia" w:ascii="楷体" w:hAnsi="楷体" w:eastAsia="楷体" w:cs="微软雅黑"/>
          <w:kern w:val="0"/>
          <w:szCs w:val="32"/>
        </w:rPr>
        <w:t>【决策公布】</w:t>
      </w:r>
      <w:r>
        <w:rPr>
          <w:rFonts w:hint="eastAsia" w:ascii="仿宋_GB2312" w:hAnsi="仿宋_GB2312" w:eastAsia="仿宋_GB2312" w:cs="仿宋_GB2312"/>
          <w:kern w:val="0"/>
          <w:szCs w:val="32"/>
        </w:rPr>
        <w:t xml:space="preserve"> 决策机关</w:t>
      </w:r>
      <w:r>
        <w:rPr>
          <w:rFonts w:hint="eastAsia" w:ascii="仿宋_GB2312" w:hAnsi="仿宋_GB2312" w:eastAsia="仿宋_GB2312" w:cs="仿宋_GB2312"/>
          <w:color w:val="000000"/>
          <w:kern w:val="0"/>
          <w:szCs w:val="32"/>
        </w:rPr>
        <w:t>作出重大行政决策后，应当依照政府信息公开的有关规定，自作出决定之日起20日内通过本级人民政府公报和政府网站以及在本行政区域内发行的报纸等途径及时公布重大行政决策。</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rPr>
        <w:t>对社会公众普遍关心或者专业性、技术性较强的决策事项，应当说明公众意见、专家论证意见的采纳情况，通过新闻发布会、接受访谈等方式进行宣传解读。依法不予公开的除外。</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kern w:val="0"/>
          <w:szCs w:val="32"/>
        </w:rPr>
      </w:pPr>
      <w:bookmarkStart w:id="27" w:name="45"/>
      <w:r>
        <w:rPr>
          <w:rFonts w:hint="eastAsia" w:ascii="黑体" w:hAnsi="黑体" w:eastAsia="黑体" w:cs="黑体"/>
          <w:kern w:val="0"/>
          <w:szCs w:val="32"/>
        </w:rPr>
        <w:t>第五十五条</w:t>
      </w:r>
      <w:bookmarkEnd w:id="27"/>
      <w:r>
        <w:rPr>
          <w:rFonts w:hint="eastAsia" w:ascii="楷体" w:hAnsi="楷体" w:eastAsia="楷体" w:cs="微软雅黑"/>
          <w:kern w:val="0"/>
          <w:szCs w:val="32"/>
        </w:rPr>
        <w:t xml:space="preserve">【记录归档制度】 </w:t>
      </w:r>
      <w:r>
        <w:rPr>
          <w:rFonts w:hint="eastAsia" w:ascii="仿宋_GB2312" w:hAnsi="仿宋_GB2312" w:eastAsia="仿宋_GB2312" w:cs="仿宋_GB2312"/>
          <w:kern w:val="0"/>
          <w:szCs w:val="32"/>
        </w:rPr>
        <w:t>建立重大行政决策过程记录和材料归档制度。决策机关办公厅（室）、决策承办单位、司法行政机关应当根据各自职责将履行决策程序形成的记录、材料及时完整归档。</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ascii="宋体" w:hAnsi="宋体" w:eastAsia="宋体" w:cs="宋体"/>
          <w:kern w:val="0"/>
          <w:szCs w:val="32"/>
        </w:rPr>
      </w:pP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eastAsia" w:ascii="宋体" w:hAnsi="宋体" w:eastAsia="宋体" w:cs="宋体"/>
          <w:b/>
          <w:kern w:val="0"/>
          <w:szCs w:val="32"/>
          <w:lang w:eastAsia="zh-CN"/>
        </w:rPr>
      </w:pPr>
      <w:r>
        <w:rPr>
          <w:rFonts w:hint="eastAsia" w:ascii="宋体" w:hAnsi="宋体" w:eastAsia="宋体" w:cs="宋体"/>
          <w:b/>
          <w:kern w:val="0"/>
          <w:szCs w:val="32"/>
          <w:lang w:eastAsia="zh-CN"/>
        </w:rPr>
        <w:t>第五章　</w:t>
      </w:r>
      <w:bookmarkStart w:id="28" w:name="46"/>
      <w:r>
        <w:rPr>
          <w:rFonts w:hint="eastAsia" w:ascii="宋体" w:hAnsi="宋体" w:eastAsia="宋体" w:cs="宋体"/>
          <w:b/>
          <w:kern w:val="0"/>
          <w:szCs w:val="32"/>
          <w:lang w:eastAsia="zh-CN"/>
        </w:rPr>
        <w:t>决策执行和调整</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ascii="宋体" w:hAnsi="宋体" w:eastAsia="宋体" w:cs="宋体"/>
          <w:b/>
          <w:kern w:val="0"/>
          <w:szCs w:val="32"/>
        </w:rPr>
      </w:pPr>
    </w:p>
    <w:bookmarkEnd w:id="28"/>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kern w:val="0"/>
          <w:szCs w:val="32"/>
        </w:rPr>
      </w:pPr>
      <w:r>
        <w:rPr>
          <w:rFonts w:hint="eastAsia" w:ascii="黑体" w:hAnsi="黑体" w:eastAsia="黑体" w:cs="黑体"/>
          <w:kern w:val="0"/>
          <w:szCs w:val="32"/>
        </w:rPr>
        <w:t>第五十六条</w:t>
      </w:r>
      <w:r>
        <w:rPr>
          <w:rFonts w:hint="eastAsia" w:ascii="楷体" w:hAnsi="楷体" w:eastAsia="楷体" w:cs="微软雅黑"/>
          <w:kern w:val="0"/>
          <w:szCs w:val="32"/>
        </w:rPr>
        <w:t xml:space="preserve">【决策执行单位职责】 </w:t>
      </w:r>
      <w:r>
        <w:rPr>
          <w:rFonts w:hint="eastAsia" w:ascii="仿宋_GB2312" w:hAnsi="仿宋_GB2312" w:eastAsia="仿宋_GB2312" w:cs="仿宋_GB2312"/>
          <w:kern w:val="0"/>
          <w:szCs w:val="32"/>
        </w:rPr>
        <w:t>决策机关应当明确负责重大行政决策执行工作的单位（以下简称决策执行单位），并对决策执行单位应当承担的任务及责任进行分解。</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rPr>
        <w:t>决策执行单位应当按照各自职责，依法、全面、及时、</w:t>
      </w:r>
      <w:r>
        <w:rPr>
          <w:rFonts w:hint="eastAsia" w:ascii="仿宋_GB2312" w:hAnsi="仿宋_GB2312" w:eastAsia="仿宋_GB2312" w:cs="仿宋_GB2312"/>
          <w:color w:val="000000" w:themeColor="text1"/>
          <w:kern w:val="0"/>
          <w:szCs w:val="32"/>
        </w:rPr>
        <w:t>正确地执行重大行政决策，不得拒不执行、推诿执行、拖</w:t>
      </w:r>
      <w:r>
        <w:rPr>
          <w:rFonts w:hint="eastAsia" w:ascii="仿宋_GB2312" w:hAnsi="仿宋_GB2312" w:eastAsia="仿宋_GB2312" w:cs="仿宋_GB2312"/>
          <w:kern w:val="0"/>
          <w:szCs w:val="32"/>
        </w:rPr>
        <w:t>延执行，并</w:t>
      </w:r>
      <w:r>
        <w:rPr>
          <w:rFonts w:hint="eastAsia" w:ascii="仿宋_GB2312" w:hAnsi="仿宋_GB2312" w:eastAsia="仿宋_GB2312" w:cs="仿宋_GB2312"/>
          <w:color w:val="000000" w:themeColor="text1"/>
          <w:kern w:val="0"/>
          <w:szCs w:val="32"/>
        </w:rPr>
        <w:t>定期</w:t>
      </w:r>
      <w:r>
        <w:rPr>
          <w:rFonts w:hint="eastAsia" w:ascii="仿宋_GB2312" w:hAnsi="仿宋_GB2312" w:eastAsia="仿宋_GB2312" w:cs="仿宋_GB2312"/>
          <w:kern w:val="0"/>
          <w:szCs w:val="32"/>
        </w:rPr>
        <w:t>向决策机关报告决策执行情况。</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kern w:val="0"/>
          <w:szCs w:val="32"/>
        </w:rPr>
      </w:pPr>
      <w:r>
        <w:rPr>
          <w:rFonts w:hint="eastAsia" w:ascii="黑体" w:hAnsi="黑体" w:eastAsia="黑体" w:cs="黑体"/>
          <w:kern w:val="0"/>
          <w:szCs w:val="32"/>
        </w:rPr>
        <w:t>第五十七条</w:t>
      </w:r>
      <w:r>
        <w:rPr>
          <w:rFonts w:hint="eastAsia" w:ascii="楷体" w:hAnsi="楷体" w:eastAsia="楷体" w:cs="微软雅黑"/>
          <w:kern w:val="0"/>
          <w:szCs w:val="32"/>
        </w:rPr>
        <w:t xml:space="preserve">【监督检查】 </w:t>
      </w:r>
      <w:r>
        <w:rPr>
          <w:rFonts w:hint="eastAsia" w:ascii="仿宋_GB2312" w:hAnsi="仿宋_GB2312" w:eastAsia="仿宋_GB2312" w:cs="仿宋_GB2312"/>
          <w:color w:val="000000" w:themeColor="text1"/>
          <w:kern w:val="0"/>
          <w:szCs w:val="32"/>
        </w:rPr>
        <w:t>决策</w:t>
      </w:r>
      <w:r>
        <w:rPr>
          <w:rFonts w:hint="eastAsia" w:ascii="仿宋_GB2312" w:hAnsi="仿宋_GB2312" w:eastAsia="仿宋_GB2312" w:cs="仿宋_GB2312"/>
          <w:kern w:val="0"/>
          <w:szCs w:val="32"/>
        </w:rPr>
        <w:t>机关应当建立健全决策执行定期报告、调查复核、情况通报、责任追究等制度，将决策执行情况纳入本级政府督查工作范围，加强对决策执行情况的监督检查。</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ascii="仿宋_GB2312" w:hAnsi="宋体" w:eastAsia="仿宋_GB2312" w:cs="宋体"/>
          <w:color w:val="000000"/>
          <w:kern w:val="0"/>
          <w:szCs w:val="32"/>
        </w:rPr>
      </w:pPr>
      <w:r>
        <w:rPr>
          <w:rFonts w:hint="eastAsia" w:ascii="黑体" w:hAnsi="黑体" w:eastAsia="黑体" w:cs="黑体"/>
          <w:kern w:val="0"/>
          <w:szCs w:val="32"/>
        </w:rPr>
        <w:t>第五十八条</w:t>
      </w:r>
      <w:r>
        <w:rPr>
          <w:rFonts w:hint="eastAsia" w:ascii="楷体" w:hAnsi="楷体" w:eastAsia="楷体" w:cs="微软雅黑"/>
          <w:kern w:val="0"/>
          <w:szCs w:val="32"/>
        </w:rPr>
        <w:t xml:space="preserve">【决策执行中的问题反馈】 </w:t>
      </w:r>
      <w:r>
        <w:rPr>
          <w:rFonts w:hint="eastAsia" w:ascii="仿宋_GB2312" w:hAnsi="宋体" w:eastAsia="仿宋_GB2312" w:cs="宋体"/>
          <w:color w:val="000000"/>
          <w:kern w:val="0"/>
          <w:szCs w:val="32"/>
        </w:rPr>
        <w:t>决策执行单位发现重大行政决策存在问题、客观情况发生重大变化，或者决策执行中发生不可抗力等严重影响决策目标实现的，应当及时向决策机关报告，不得瞒报、谎报或者漏报。</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公民、法人和其他组织认为重大行政决策及其实施存在问题的，可以通过信件、电话、电子邮件、微信公众号等方式向决策机关或者决策执行单位提出意见建议。相关单位应当对意见建议进行记录并作出处理。　</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color w:val="FF0000"/>
          <w:kern w:val="0"/>
          <w:szCs w:val="32"/>
        </w:rPr>
      </w:pPr>
      <w:bookmarkStart w:id="29" w:name="48"/>
      <w:r>
        <w:rPr>
          <w:rFonts w:hint="eastAsia" w:ascii="黑体" w:hAnsi="黑体" w:eastAsia="黑体" w:cs="黑体"/>
          <w:kern w:val="0"/>
          <w:szCs w:val="32"/>
        </w:rPr>
        <w:t>第五十九条</w:t>
      </w:r>
      <w:r>
        <w:rPr>
          <w:rFonts w:hint="eastAsia" w:ascii="楷体" w:hAnsi="楷体" w:eastAsia="楷体" w:cs="微软雅黑"/>
          <w:kern w:val="0"/>
          <w:szCs w:val="32"/>
        </w:rPr>
        <w:t xml:space="preserve">【信赖保护】 </w:t>
      </w:r>
      <w:r>
        <w:rPr>
          <w:rFonts w:hint="eastAsia" w:ascii="仿宋_GB2312" w:hAnsi="仿宋_GB2312" w:eastAsia="仿宋_GB2312" w:cs="仿宋_GB2312"/>
          <w:color w:val="000000" w:themeColor="text1"/>
          <w:kern w:val="0"/>
          <w:szCs w:val="32"/>
        </w:rPr>
        <w:t>非因法定事由并经法定程序，决策机关、决策执行单位不得擅自改变或者停止执行依法作出的重大行政决策。</w:t>
      </w:r>
    </w:p>
    <w:p>
      <w:pPr>
        <w:keepNext w:val="0"/>
        <w:keepLines w:val="0"/>
        <w:pageBreakBefore w:val="0"/>
        <w:widowControl/>
        <w:kinsoku/>
        <w:wordWrap/>
        <w:overflowPunct/>
        <w:topLinePunct w:val="0"/>
        <w:autoSpaceDE/>
        <w:autoSpaceDN/>
        <w:bidi w:val="0"/>
        <w:spacing w:line="560" w:lineRule="exact"/>
        <w:ind w:left="0" w:leftChars="0" w:right="0" w:rightChars="0" w:firstLine="632" w:firstLineChars="200"/>
        <w:jc w:val="left"/>
        <w:textAlignment w:val="auto"/>
        <w:outlineLvl w:val="9"/>
        <w:rPr>
          <w:rFonts w:hint="eastAsia" w:ascii="仿宋_GB2312" w:hAnsi="仿宋_GB2312" w:eastAsia="仿宋_GB2312" w:cs="仿宋_GB2312"/>
          <w:color w:val="000000" w:themeColor="text1"/>
          <w:kern w:val="0"/>
          <w:szCs w:val="32"/>
        </w:rPr>
      </w:pPr>
      <w:r>
        <w:rPr>
          <w:rFonts w:hint="eastAsia" w:ascii="仿宋_GB2312" w:hAnsi="仿宋_GB2312" w:eastAsia="仿宋_GB2312" w:cs="仿宋_GB2312"/>
          <w:color w:val="000000" w:themeColor="text1"/>
          <w:kern w:val="0"/>
          <w:szCs w:val="32"/>
        </w:rPr>
        <w:t>执行中出现本规定第五十八条规定的情形，为了公共利益的需要，决策机关可以作出停止执行或者修改决策的决定；情况紧急的，决策机关行政首长可以先决定中止执行。</w:t>
      </w:r>
    </w:p>
    <w:p>
      <w:pPr>
        <w:keepNext w:val="0"/>
        <w:keepLines w:val="0"/>
        <w:pageBreakBefore w:val="0"/>
        <w:widowControl/>
        <w:kinsoku/>
        <w:wordWrap/>
        <w:overflowPunct/>
        <w:topLinePunct w:val="0"/>
        <w:autoSpaceDE/>
        <w:autoSpaceDN/>
        <w:bidi w:val="0"/>
        <w:spacing w:line="560" w:lineRule="exact"/>
        <w:ind w:left="0" w:leftChars="0" w:right="0" w:rightChars="0" w:firstLine="632" w:firstLineChars="200"/>
        <w:jc w:val="left"/>
        <w:textAlignment w:val="auto"/>
        <w:outlineLvl w:val="9"/>
        <w:rPr>
          <w:rFonts w:hint="eastAsia" w:ascii="仿宋_GB2312" w:hAnsi="仿宋_GB2312" w:eastAsia="仿宋_GB2312" w:cs="仿宋_GB2312"/>
          <w:color w:val="000000" w:themeColor="text1"/>
          <w:kern w:val="0"/>
          <w:szCs w:val="32"/>
        </w:rPr>
      </w:pPr>
      <w:r>
        <w:rPr>
          <w:rFonts w:hint="eastAsia" w:ascii="仿宋_GB2312" w:hAnsi="仿宋_GB2312" w:eastAsia="仿宋_GB2312" w:cs="仿宋_GB2312"/>
          <w:color w:val="000000"/>
          <w:kern w:val="0"/>
          <w:szCs w:val="32"/>
        </w:rPr>
        <w:t>决策机关作出停止执行、中止执行的决定或者修改决策的，决策执行单位应当采取有效措施,避免或者减轻经济损失和不良影响。</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kern w:val="0"/>
          <w:szCs w:val="32"/>
        </w:rPr>
      </w:pPr>
      <w:r>
        <w:rPr>
          <w:rFonts w:hint="eastAsia" w:ascii="黑体" w:hAnsi="黑体" w:eastAsia="黑体" w:cs="黑体"/>
          <w:kern w:val="0"/>
          <w:szCs w:val="32"/>
        </w:rPr>
        <w:t>第六十条</w:t>
      </w:r>
      <w:bookmarkEnd w:id="29"/>
      <w:r>
        <w:rPr>
          <w:rFonts w:hint="eastAsia" w:ascii="楷体" w:hAnsi="楷体" w:eastAsia="楷体" w:cs="微软雅黑"/>
          <w:kern w:val="0"/>
          <w:szCs w:val="32"/>
        </w:rPr>
        <w:t xml:space="preserve">【决策后评估的情形】 </w:t>
      </w:r>
      <w:r>
        <w:rPr>
          <w:rFonts w:hint="eastAsia" w:ascii="仿宋_GB2312" w:hAnsi="仿宋_GB2312" w:eastAsia="仿宋_GB2312" w:cs="仿宋_GB2312"/>
          <w:kern w:val="0"/>
          <w:szCs w:val="32"/>
        </w:rPr>
        <w:t>有下列情形之一的，决策执行单位应当组织进行决策后评估： 　　</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rPr>
        <w:t>（一）重大行政决策实施后明显未达到预期效果； 　　</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rPr>
        <w:t>（二）公民、法人或者其他组织提出较多意见； 　　</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rPr>
        <w:t>（三）决策机关认为有必要。 　　</w:t>
      </w:r>
    </w:p>
    <w:p>
      <w:pPr>
        <w:keepNext w:val="0"/>
        <w:keepLines w:val="0"/>
        <w:pageBreakBefore w:val="0"/>
        <w:widowControl/>
        <w:kinsoku/>
        <w:wordWrap/>
        <w:overflowPunct/>
        <w:topLinePunct w:val="0"/>
        <w:autoSpaceDE/>
        <w:autoSpaceDN/>
        <w:bidi w:val="0"/>
        <w:spacing w:line="560" w:lineRule="exact"/>
        <w:ind w:left="0" w:leftChars="0" w:right="0" w:rightChars="0" w:firstLine="632" w:firstLineChars="200"/>
        <w:jc w:val="left"/>
        <w:textAlignment w:val="auto"/>
        <w:outlineLvl w:val="9"/>
        <w:rPr>
          <w:rFonts w:hint="eastAsia" w:ascii="仿宋_GB2312" w:hAnsi="仿宋_GB2312" w:eastAsia="仿宋_GB2312" w:cs="仿宋_GB2312"/>
          <w:color w:val="000000"/>
          <w:kern w:val="0"/>
          <w:szCs w:val="32"/>
        </w:rPr>
      </w:pPr>
      <w:r>
        <w:rPr>
          <w:rFonts w:hint="eastAsia" w:ascii="仿宋_GB2312" w:hAnsi="仿宋_GB2312" w:eastAsia="仿宋_GB2312" w:cs="仿宋_GB2312"/>
          <w:color w:val="000000"/>
          <w:kern w:val="0"/>
          <w:szCs w:val="32"/>
        </w:rPr>
        <w:t>开展决策后评估，可以委托专业机构、社会组织等第三方进行，决策作出前承担主要论证评估工作的单位除外。</w:t>
      </w:r>
    </w:p>
    <w:p>
      <w:pPr>
        <w:keepNext w:val="0"/>
        <w:keepLines w:val="0"/>
        <w:pageBreakBefore w:val="0"/>
        <w:widowControl/>
        <w:kinsoku/>
        <w:wordWrap/>
        <w:overflowPunct/>
        <w:topLinePunct w:val="0"/>
        <w:autoSpaceDE/>
        <w:autoSpaceDN/>
        <w:bidi w:val="0"/>
        <w:spacing w:line="560" w:lineRule="exact"/>
        <w:ind w:left="0" w:leftChars="0" w:right="0" w:rightChars="0" w:firstLine="632" w:firstLineChars="200"/>
        <w:jc w:val="left"/>
        <w:textAlignment w:val="auto"/>
        <w:outlineLvl w:val="9"/>
        <w:rPr>
          <w:rFonts w:hint="eastAsia" w:ascii="仿宋_GB2312" w:hAnsi="仿宋_GB2312" w:eastAsia="仿宋_GB2312" w:cs="仿宋_GB2312"/>
          <w:color w:val="000000"/>
          <w:kern w:val="0"/>
          <w:szCs w:val="32"/>
        </w:rPr>
      </w:pPr>
      <w:r>
        <w:rPr>
          <w:rFonts w:hint="eastAsia" w:ascii="仿宋_GB2312" w:hAnsi="仿宋_GB2312" w:eastAsia="仿宋_GB2312" w:cs="仿宋_GB2312"/>
          <w:color w:val="000000"/>
          <w:kern w:val="0"/>
          <w:szCs w:val="32"/>
        </w:rPr>
        <w:t>开展决策后评估，应当注重听取社会公众的意见，吸收人大代表、政协委员、人民团体、基层组织、社会组织参与评估。</w:t>
      </w:r>
    </w:p>
    <w:p>
      <w:pPr>
        <w:keepNext w:val="0"/>
        <w:keepLines w:val="0"/>
        <w:pageBreakBefore w:val="0"/>
        <w:widowControl/>
        <w:kinsoku/>
        <w:wordWrap/>
        <w:overflowPunct/>
        <w:topLinePunct w:val="0"/>
        <w:autoSpaceDE/>
        <w:autoSpaceDN/>
        <w:bidi w:val="0"/>
        <w:spacing w:line="560" w:lineRule="exact"/>
        <w:ind w:left="0" w:leftChars="0" w:right="0" w:rightChars="0" w:firstLine="632" w:firstLineChars="200"/>
        <w:jc w:val="left"/>
        <w:textAlignment w:val="auto"/>
        <w:outlineLvl w:val="9"/>
        <w:rPr>
          <w:rFonts w:ascii="仿宋_GB2312" w:hAnsi="宋体" w:eastAsia="仿宋_GB2312" w:cs="宋体"/>
          <w:color w:val="000000"/>
          <w:kern w:val="0"/>
          <w:szCs w:val="32"/>
        </w:rPr>
      </w:pPr>
      <w:r>
        <w:rPr>
          <w:rFonts w:hint="eastAsia" w:ascii="黑体" w:hAnsi="黑体" w:eastAsia="黑体" w:cs="黑体"/>
          <w:kern w:val="0"/>
          <w:szCs w:val="32"/>
        </w:rPr>
        <w:t>第六十一条</w:t>
      </w:r>
      <w:r>
        <w:rPr>
          <w:rFonts w:hint="eastAsia" w:ascii="楷体" w:hAnsi="楷体" w:eastAsia="楷体" w:cs="微软雅黑"/>
          <w:kern w:val="0"/>
          <w:szCs w:val="32"/>
        </w:rPr>
        <w:t>【决策后评估事项】</w:t>
      </w:r>
      <w:r>
        <w:rPr>
          <w:rFonts w:hint="eastAsia" w:ascii="仿宋_GB2312" w:hAnsi="宋体" w:eastAsia="仿宋_GB2312" w:cs="宋体"/>
          <w:color w:val="000000"/>
          <w:kern w:val="0"/>
          <w:szCs w:val="32"/>
        </w:rPr>
        <w:t>决策后评估包括下列内容:</w:t>
      </w:r>
    </w:p>
    <w:p>
      <w:pPr>
        <w:keepNext w:val="0"/>
        <w:keepLines w:val="0"/>
        <w:pageBreakBefore w:val="0"/>
        <w:widowControl/>
        <w:kinsoku/>
        <w:wordWrap/>
        <w:overflowPunct/>
        <w:topLinePunct w:val="0"/>
        <w:autoSpaceDE/>
        <w:autoSpaceDN/>
        <w:bidi w:val="0"/>
        <w:spacing w:line="560" w:lineRule="exact"/>
        <w:ind w:left="0" w:leftChars="0" w:right="0" w:rightChars="0" w:firstLine="632" w:firstLineChars="200"/>
        <w:jc w:val="left"/>
        <w:textAlignment w:val="auto"/>
        <w:outlineLvl w:val="9"/>
        <w:rPr>
          <w:rFonts w:ascii="仿宋_GB2312" w:hAnsi="宋体" w:eastAsia="仿宋_GB2312" w:cs="宋体"/>
          <w:color w:val="000000"/>
          <w:kern w:val="0"/>
          <w:szCs w:val="32"/>
        </w:rPr>
      </w:pPr>
      <w:r>
        <w:rPr>
          <w:rFonts w:hint="eastAsia" w:ascii="仿宋_GB2312" w:hAnsi="宋体" w:eastAsia="仿宋_GB2312" w:cs="宋体"/>
          <w:color w:val="000000"/>
          <w:kern w:val="0"/>
          <w:szCs w:val="32"/>
        </w:rPr>
        <w:t>(一)决策实施的结果与决策目的是否相符;</w:t>
      </w:r>
    </w:p>
    <w:p>
      <w:pPr>
        <w:keepNext w:val="0"/>
        <w:keepLines w:val="0"/>
        <w:pageBreakBefore w:val="0"/>
        <w:widowControl/>
        <w:kinsoku/>
        <w:wordWrap/>
        <w:overflowPunct/>
        <w:topLinePunct w:val="0"/>
        <w:autoSpaceDE/>
        <w:autoSpaceDN/>
        <w:bidi w:val="0"/>
        <w:spacing w:line="560" w:lineRule="exact"/>
        <w:ind w:left="0" w:leftChars="0" w:right="0" w:rightChars="0" w:firstLine="632" w:firstLineChars="200"/>
        <w:jc w:val="left"/>
        <w:textAlignment w:val="auto"/>
        <w:outlineLvl w:val="9"/>
        <w:rPr>
          <w:rFonts w:ascii="仿宋_GB2312" w:hAnsi="宋体" w:eastAsia="仿宋_GB2312" w:cs="宋体"/>
          <w:color w:val="000000"/>
          <w:kern w:val="0"/>
          <w:szCs w:val="32"/>
        </w:rPr>
      </w:pPr>
      <w:r>
        <w:rPr>
          <w:rFonts w:hint="eastAsia" w:ascii="仿宋_GB2312" w:hAnsi="宋体" w:eastAsia="仿宋_GB2312" w:cs="宋体"/>
          <w:color w:val="000000"/>
          <w:kern w:val="0"/>
          <w:szCs w:val="32"/>
        </w:rPr>
        <w:t>(二)决策实施的成本、效益分析;</w:t>
      </w:r>
    </w:p>
    <w:p>
      <w:pPr>
        <w:keepNext w:val="0"/>
        <w:keepLines w:val="0"/>
        <w:pageBreakBefore w:val="0"/>
        <w:widowControl/>
        <w:kinsoku/>
        <w:wordWrap/>
        <w:overflowPunct/>
        <w:topLinePunct w:val="0"/>
        <w:autoSpaceDE/>
        <w:autoSpaceDN/>
        <w:bidi w:val="0"/>
        <w:spacing w:line="560" w:lineRule="exact"/>
        <w:ind w:left="0" w:leftChars="0" w:right="0" w:rightChars="0" w:firstLine="632" w:firstLineChars="200"/>
        <w:jc w:val="left"/>
        <w:textAlignment w:val="auto"/>
        <w:outlineLvl w:val="9"/>
        <w:rPr>
          <w:rFonts w:ascii="仿宋_GB2312" w:hAnsi="宋体" w:eastAsia="仿宋_GB2312" w:cs="宋体"/>
          <w:color w:val="000000"/>
          <w:kern w:val="0"/>
          <w:szCs w:val="32"/>
        </w:rPr>
      </w:pPr>
      <w:r>
        <w:rPr>
          <w:rFonts w:hint="eastAsia" w:ascii="仿宋_GB2312" w:hAnsi="宋体" w:eastAsia="仿宋_GB2312" w:cs="宋体"/>
          <w:color w:val="000000"/>
          <w:kern w:val="0"/>
          <w:szCs w:val="32"/>
        </w:rPr>
        <w:t>(三)实施对象对决策的接受程度;</w:t>
      </w:r>
    </w:p>
    <w:p>
      <w:pPr>
        <w:keepNext w:val="0"/>
        <w:keepLines w:val="0"/>
        <w:pageBreakBefore w:val="0"/>
        <w:widowControl/>
        <w:kinsoku/>
        <w:wordWrap/>
        <w:overflowPunct/>
        <w:topLinePunct w:val="0"/>
        <w:autoSpaceDE/>
        <w:autoSpaceDN/>
        <w:bidi w:val="0"/>
        <w:spacing w:line="560" w:lineRule="exact"/>
        <w:ind w:left="0" w:leftChars="0" w:right="0" w:rightChars="0" w:firstLine="632" w:firstLineChars="200"/>
        <w:jc w:val="left"/>
        <w:textAlignment w:val="auto"/>
        <w:outlineLvl w:val="9"/>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(四)决策实施与经济社会发展的符合程度;</w:t>
      </w:r>
    </w:p>
    <w:p>
      <w:pPr>
        <w:keepNext w:val="0"/>
        <w:keepLines w:val="0"/>
        <w:pageBreakBefore w:val="0"/>
        <w:widowControl/>
        <w:kinsoku/>
        <w:wordWrap/>
        <w:overflowPunct/>
        <w:topLinePunct w:val="0"/>
        <w:autoSpaceDE/>
        <w:autoSpaceDN/>
        <w:bidi w:val="0"/>
        <w:spacing w:line="560" w:lineRule="exact"/>
        <w:ind w:left="0" w:leftChars="0" w:right="0" w:rightChars="0" w:firstLine="632" w:firstLineChars="200"/>
        <w:jc w:val="left"/>
        <w:textAlignment w:val="auto"/>
        <w:outlineLvl w:val="9"/>
        <w:rPr>
          <w:rFonts w:ascii="仿宋_GB2312" w:hAnsi="宋体" w:eastAsia="仿宋_GB2312" w:cs="宋体"/>
          <w:color w:val="000000"/>
          <w:kern w:val="0"/>
          <w:szCs w:val="32"/>
        </w:rPr>
      </w:pPr>
      <w:r>
        <w:rPr>
          <w:rFonts w:hint="eastAsia" w:ascii="仿宋_GB2312" w:hAnsi="宋体" w:eastAsia="仿宋_GB2312" w:cs="宋体"/>
          <w:color w:val="000000"/>
          <w:kern w:val="0"/>
          <w:szCs w:val="32"/>
        </w:rPr>
        <w:t>(五)决策实施带来的影响和可预期的长远影响。</w:t>
      </w: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632" w:firstLineChars="200"/>
        <w:textAlignment w:val="auto"/>
        <w:outlineLvl w:val="9"/>
        <w:rPr>
          <w:rFonts w:hint="eastAsia" w:ascii="仿宋_GB2312" w:hAnsi="仿宋_GB2312" w:eastAsia="仿宋_GB2312" w:cs="仿宋_GB2312"/>
          <w:color w:val="222222"/>
          <w:sz w:val="32"/>
          <w:szCs w:val="32"/>
        </w:rPr>
      </w:pPr>
      <w:r>
        <w:rPr>
          <w:rFonts w:hint="eastAsia" w:ascii="黑体" w:hAnsi="黑体" w:eastAsia="黑体" w:cs="黑体"/>
          <w:sz w:val="32"/>
          <w:szCs w:val="32"/>
        </w:rPr>
        <w:t>第六十二条</w:t>
      </w:r>
      <w:r>
        <w:rPr>
          <w:rFonts w:hint="eastAsia" w:ascii="楷体" w:hAnsi="楷体" w:eastAsia="楷体" w:cs="微软雅黑"/>
          <w:sz w:val="32"/>
          <w:szCs w:val="32"/>
        </w:rPr>
        <w:t xml:space="preserve">【决策后评估报告】 </w:t>
      </w:r>
      <w:r>
        <w:rPr>
          <w:rFonts w:hint="eastAsia" w:ascii="仿宋_GB2312" w:hAnsi="仿宋_GB2312" w:eastAsia="仿宋_GB2312" w:cs="仿宋_GB2312"/>
          <w:color w:val="000000"/>
          <w:sz w:val="32"/>
          <w:szCs w:val="32"/>
        </w:rPr>
        <w:t>决策执行单位</w:t>
      </w:r>
      <w:r>
        <w:rPr>
          <w:rFonts w:hint="eastAsia" w:ascii="仿宋_GB2312" w:hAnsi="仿宋_GB2312" w:eastAsia="仿宋_GB2312" w:cs="仿宋_GB2312"/>
          <w:color w:val="222222"/>
          <w:sz w:val="32"/>
          <w:szCs w:val="32"/>
          <w:shd w:val="clear" w:color="auto" w:fill="FFFFFF"/>
        </w:rPr>
        <w:t>应当在完成评估工作后，及时向决策机关提交评估报告。</w:t>
      </w: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632" w:firstLineChars="200"/>
        <w:textAlignment w:val="auto"/>
        <w:outlineLvl w:val="9"/>
        <w:rPr>
          <w:rFonts w:hint="eastAsia" w:ascii="仿宋_GB2312" w:hAnsi="仿宋_GB2312" w:eastAsia="仿宋_GB2312" w:cs="仿宋_GB2312"/>
          <w:color w:val="222222"/>
          <w:sz w:val="32"/>
          <w:szCs w:val="32"/>
        </w:rPr>
      </w:pPr>
      <w:r>
        <w:rPr>
          <w:rFonts w:hint="eastAsia" w:ascii="仿宋_GB2312" w:hAnsi="仿宋_GB2312" w:eastAsia="仿宋_GB2312" w:cs="仿宋_GB2312"/>
          <w:color w:val="222222"/>
          <w:sz w:val="32"/>
          <w:szCs w:val="32"/>
          <w:shd w:val="clear" w:color="auto" w:fill="FFFFFF"/>
        </w:rPr>
        <w:t>评估报告应当包括下列内容：</w:t>
      </w: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632" w:firstLineChars="200"/>
        <w:textAlignment w:val="auto"/>
        <w:outlineLvl w:val="9"/>
        <w:rPr>
          <w:rFonts w:hint="eastAsia" w:ascii="仿宋_GB2312" w:hAnsi="仿宋_GB2312" w:eastAsia="仿宋_GB2312" w:cs="仿宋_GB2312"/>
          <w:color w:val="222222"/>
          <w:sz w:val="32"/>
          <w:szCs w:val="32"/>
        </w:rPr>
      </w:pPr>
      <w:r>
        <w:rPr>
          <w:rFonts w:hint="eastAsia" w:ascii="仿宋_GB2312" w:hAnsi="仿宋_GB2312" w:eastAsia="仿宋_GB2312" w:cs="仿宋_GB2312"/>
          <w:color w:val="222222"/>
          <w:sz w:val="32"/>
          <w:szCs w:val="32"/>
          <w:shd w:val="clear" w:color="auto" w:fill="FFFFFF"/>
        </w:rPr>
        <w:t>(一)评估过程和方式；</w:t>
      </w: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632" w:firstLineChars="200"/>
        <w:textAlignment w:val="auto"/>
        <w:outlineLvl w:val="9"/>
        <w:rPr>
          <w:rFonts w:hint="eastAsia" w:ascii="仿宋_GB2312" w:hAnsi="仿宋_GB2312" w:eastAsia="仿宋_GB2312" w:cs="仿宋_GB2312"/>
          <w:color w:val="222222"/>
          <w:sz w:val="32"/>
          <w:szCs w:val="32"/>
        </w:rPr>
      </w:pPr>
      <w:r>
        <w:rPr>
          <w:rFonts w:hint="eastAsia" w:ascii="仿宋_GB2312" w:hAnsi="仿宋_GB2312" w:eastAsia="仿宋_GB2312" w:cs="仿宋_GB2312"/>
          <w:color w:val="222222"/>
          <w:sz w:val="32"/>
          <w:szCs w:val="32"/>
          <w:shd w:val="clear" w:color="auto" w:fill="FFFFFF"/>
        </w:rPr>
        <w:t>(二)决策执行的基本情况；</w:t>
      </w: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632" w:firstLineChars="200"/>
        <w:textAlignment w:val="auto"/>
        <w:outlineLvl w:val="9"/>
        <w:rPr>
          <w:rFonts w:hint="eastAsia" w:ascii="仿宋_GB2312" w:hAnsi="仿宋_GB2312" w:eastAsia="仿宋_GB2312" w:cs="仿宋_GB2312"/>
          <w:color w:val="222222"/>
          <w:sz w:val="32"/>
          <w:szCs w:val="32"/>
        </w:rPr>
      </w:pPr>
      <w:r>
        <w:rPr>
          <w:rFonts w:hint="eastAsia" w:ascii="仿宋_GB2312" w:hAnsi="仿宋_GB2312" w:eastAsia="仿宋_GB2312" w:cs="仿宋_GB2312"/>
          <w:color w:val="222222"/>
          <w:sz w:val="32"/>
          <w:szCs w:val="32"/>
          <w:shd w:val="clear" w:color="auto" w:fill="FFFFFF"/>
        </w:rPr>
        <w:t>(三)决策执行中存在的主要问题和原因；</w:t>
      </w: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632" w:firstLineChars="200"/>
        <w:textAlignment w:val="auto"/>
        <w:outlineLvl w:val="9"/>
        <w:rPr>
          <w:rFonts w:hint="eastAsia" w:ascii="仿宋_GB2312" w:hAnsi="仿宋_GB2312" w:eastAsia="仿宋_GB2312" w:cs="仿宋_GB2312"/>
          <w:color w:val="222222"/>
          <w:sz w:val="32"/>
          <w:szCs w:val="32"/>
          <w:shd w:val="clear" w:color="auto" w:fill="FFFFFF"/>
        </w:rPr>
      </w:pPr>
      <w:r>
        <w:rPr>
          <w:rFonts w:hint="eastAsia" w:ascii="仿宋_GB2312" w:hAnsi="仿宋_GB2312" w:eastAsia="仿宋_GB2312" w:cs="仿宋_GB2312"/>
          <w:color w:val="222222"/>
          <w:sz w:val="32"/>
          <w:szCs w:val="32"/>
          <w:shd w:val="clear" w:color="auto" w:fill="FFFFFF"/>
        </w:rPr>
        <w:t>(四)继续执行、</w:t>
      </w:r>
      <w:r>
        <w:rPr>
          <w:rFonts w:hint="eastAsia" w:ascii="仿宋_GB2312" w:hAnsi="仿宋_GB2312" w:eastAsia="仿宋_GB2312" w:cs="仿宋_GB2312"/>
          <w:color w:val="000000" w:themeColor="text1"/>
          <w:sz w:val="32"/>
          <w:szCs w:val="32"/>
        </w:rPr>
        <w:t>停止执行或者修改决策的建议。</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color w:val="000000" w:themeColor="text1"/>
          <w:kern w:val="0"/>
          <w:szCs w:val="32"/>
        </w:rPr>
      </w:pPr>
      <w:r>
        <w:rPr>
          <w:rFonts w:hint="eastAsia" w:ascii="仿宋_GB2312" w:hAnsi="仿宋_GB2312" w:eastAsia="仿宋_GB2312" w:cs="仿宋_GB2312"/>
          <w:color w:val="000000" w:themeColor="text1"/>
          <w:kern w:val="0"/>
          <w:szCs w:val="32"/>
        </w:rPr>
        <w:t>决策后评估结果应当作为调整重大行政决策的重要依据。经评估需要停止执行或者修改的，由决策机关常务会议或者全体会议研究决定。</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ascii="宋体" w:hAnsi="宋体" w:eastAsia="宋体" w:cs="宋体"/>
          <w:b/>
          <w:kern w:val="0"/>
          <w:szCs w:val="32"/>
        </w:rPr>
      </w:pP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ascii="宋体" w:hAnsi="宋体" w:eastAsia="宋体" w:cs="宋体"/>
          <w:b/>
          <w:kern w:val="0"/>
          <w:szCs w:val="32"/>
        </w:rPr>
      </w:pPr>
      <w:r>
        <w:rPr>
          <w:rFonts w:hint="eastAsia" w:ascii="宋体" w:hAnsi="宋体" w:eastAsia="宋体" w:cs="宋体"/>
          <w:b/>
          <w:kern w:val="0"/>
          <w:szCs w:val="32"/>
          <w:lang w:eastAsia="zh-CN"/>
        </w:rPr>
        <w:t>第六章</w:t>
      </w:r>
      <w:r>
        <w:rPr>
          <w:rFonts w:ascii="宋体" w:hAnsi="宋体" w:eastAsia="宋体" w:cs="宋体"/>
          <w:b/>
          <w:kern w:val="0"/>
          <w:szCs w:val="32"/>
        </w:rPr>
        <w:t>　法律责任</w:t>
      </w:r>
      <w:bookmarkStart w:id="30" w:name="51"/>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ascii="宋体" w:hAnsi="宋体" w:eastAsia="宋体" w:cs="宋体"/>
          <w:b/>
          <w:kern w:val="0"/>
          <w:szCs w:val="32"/>
        </w:rPr>
      </w:pP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第六十三条</w:t>
      </w:r>
      <w:bookmarkEnd w:id="30"/>
      <w:r>
        <w:rPr>
          <w:rFonts w:hint="eastAsia" w:ascii="楷体" w:hAnsi="楷体" w:eastAsia="楷体" w:cs="微软雅黑"/>
          <w:sz w:val="32"/>
          <w:szCs w:val="32"/>
        </w:rPr>
        <w:t xml:space="preserve">【决策机关的法律责任】 </w:t>
      </w:r>
      <w:r>
        <w:rPr>
          <w:rFonts w:hint="eastAsia" w:ascii="仿宋_GB2312" w:hAnsi="仿宋_GB2312" w:eastAsia="仿宋_GB2312" w:cs="仿宋_GB2312"/>
          <w:color w:val="333333"/>
          <w:sz w:val="32"/>
          <w:szCs w:val="32"/>
        </w:rPr>
        <w:t>决</w:t>
      </w:r>
      <w:r>
        <w:rPr>
          <w:rFonts w:hint="eastAsia" w:ascii="仿宋_GB2312" w:hAnsi="仿宋_GB2312" w:eastAsia="仿宋_GB2312" w:cs="仿宋_GB2312"/>
          <w:sz w:val="32"/>
          <w:szCs w:val="32"/>
        </w:rPr>
        <w:t>策机关违反本规定</w:t>
      </w:r>
      <w:r>
        <w:rPr>
          <w:rFonts w:hint="eastAsia" w:ascii="仿宋_GB2312" w:hAnsi="仿宋_GB2312" w:eastAsia="仿宋_GB2312" w:cs="仿宋_GB2312"/>
          <w:color w:val="000000"/>
          <w:sz w:val="32"/>
          <w:szCs w:val="32"/>
        </w:rPr>
        <w:t>未履行或者未正确履行决策程序</w:t>
      </w:r>
      <w:r>
        <w:rPr>
          <w:rFonts w:hint="eastAsia" w:ascii="仿宋_GB2312" w:hAnsi="仿宋_GB2312" w:eastAsia="仿宋_GB2312" w:cs="仿宋_GB2312"/>
          <w:sz w:val="32"/>
          <w:szCs w:val="32"/>
        </w:rPr>
        <w:t>的，由上级行政机关责令改正，对决策机关行政首长、负有责任的其他领导人员和直接责任人员依法追究责任。</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rPr>
        <w:t>决策机关违反本规定造成决策严重失误，或者依法应当及时作出决策而久拖不决，造成重大损失、恶劣影响的，应当倒查责任，实行终身责任追究，对决策机关行政首长、负有责任的其他领导人员和直接责任人员依法追究责任。</w:t>
      </w:r>
      <w:bookmarkStart w:id="31" w:name="52"/>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rPr>
        <w:t>决策机关集体讨论决策草案时，有关人员对严重失误的决策表示不同意见的，按照规定减免责任。</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kern w:val="0"/>
          <w:szCs w:val="32"/>
        </w:rPr>
      </w:pPr>
      <w:r>
        <w:rPr>
          <w:rFonts w:hint="eastAsia" w:ascii="黑体" w:hAnsi="黑体" w:eastAsia="黑体" w:cs="黑体"/>
          <w:kern w:val="0"/>
          <w:szCs w:val="32"/>
        </w:rPr>
        <w:t>第六十四条</w:t>
      </w:r>
      <w:bookmarkEnd w:id="31"/>
      <w:r>
        <w:rPr>
          <w:rFonts w:hint="eastAsia" w:ascii="楷体" w:hAnsi="楷体" w:eastAsia="楷体" w:cs="微软雅黑"/>
          <w:kern w:val="0"/>
          <w:szCs w:val="32"/>
        </w:rPr>
        <w:t xml:space="preserve">【决策承办单位等单位的法律责任】 </w:t>
      </w:r>
      <w:r>
        <w:rPr>
          <w:rFonts w:hint="eastAsia" w:ascii="仿宋_GB2312" w:hAnsi="仿宋_GB2312" w:eastAsia="仿宋_GB2312" w:cs="仿宋_GB2312"/>
          <w:kern w:val="0"/>
          <w:szCs w:val="32"/>
        </w:rPr>
        <w:t>决策承办单位或者承担决策有关工作的单位未按照本规定履行决策程序或者履行决策程序时失职渎职、弄虚作假的，由决策机关责令改正，对负有责任的领导人员和直接责任人员依法追究责任。</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kern w:val="0"/>
          <w:szCs w:val="32"/>
        </w:rPr>
      </w:pPr>
      <w:bookmarkStart w:id="32" w:name="53"/>
      <w:r>
        <w:rPr>
          <w:rFonts w:hint="eastAsia" w:ascii="黑体" w:hAnsi="黑体" w:eastAsia="黑体" w:cs="黑体"/>
          <w:kern w:val="0"/>
          <w:szCs w:val="32"/>
        </w:rPr>
        <w:t>第六十五条</w:t>
      </w:r>
      <w:bookmarkEnd w:id="32"/>
      <w:r>
        <w:rPr>
          <w:rFonts w:hint="eastAsia" w:ascii="楷体" w:hAnsi="楷体" w:eastAsia="楷体" w:cs="宋体"/>
          <w:kern w:val="0"/>
          <w:szCs w:val="32"/>
        </w:rPr>
        <w:t xml:space="preserve">【决策执行单位的法律责任】 </w:t>
      </w:r>
      <w:r>
        <w:rPr>
          <w:rFonts w:hint="eastAsia" w:ascii="仿宋_GB2312" w:hAnsi="仿宋_GB2312" w:eastAsia="仿宋_GB2312" w:cs="仿宋_GB2312"/>
          <w:kern w:val="0"/>
          <w:szCs w:val="32"/>
        </w:rPr>
        <w:t>决策执行单位拒不执行、推诿执行、拖延执行重大行政决策，或者对执行中发现的重大问题瞒报、谎报或者漏报的，由决策机关责令改正，对负有责任的领导人员和直接责任人员依法追究责任。</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kern w:val="0"/>
          <w:szCs w:val="32"/>
        </w:rPr>
      </w:pPr>
      <w:bookmarkStart w:id="33" w:name="54"/>
      <w:r>
        <w:rPr>
          <w:rFonts w:hint="eastAsia" w:ascii="黑体" w:hAnsi="黑体" w:eastAsia="黑体" w:cs="黑体"/>
          <w:kern w:val="0"/>
          <w:szCs w:val="32"/>
        </w:rPr>
        <w:t>第六十六条</w:t>
      </w:r>
      <w:bookmarkEnd w:id="33"/>
      <w:r>
        <w:rPr>
          <w:rFonts w:hint="eastAsia" w:ascii="楷体" w:hAnsi="楷体" w:eastAsia="楷体" w:cs="微软雅黑"/>
          <w:kern w:val="0"/>
          <w:szCs w:val="32"/>
        </w:rPr>
        <w:t xml:space="preserve"> 【参与决策的有关主体的法律责任】 </w:t>
      </w:r>
      <w:r>
        <w:rPr>
          <w:rFonts w:hint="eastAsia" w:ascii="仿宋_GB2312" w:hAnsi="仿宋_GB2312" w:eastAsia="仿宋_GB2312" w:cs="仿宋_GB2312"/>
          <w:kern w:val="0"/>
          <w:szCs w:val="32"/>
        </w:rPr>
        <w:t>承担论证评估工作的专家、专业机构、社会组织等违反职业道德和本规定，</w:t>
      </w:r>
      <w:r>
        <w:rPr>
          <w:rFonts w:hint="eastAsia" w:ascii="仿宋_GB2312" w:hAnsi="仿宋_GB2312" w:eastAsia="仿宋_GB2312" w:cs="仿宋_GB2312"/>
          <w:color w:val="000000"/>
          <w:kern w:val="0"/>
          <w:szCs w:val="32"/>
        </w:rPr>
        <w:t>出具违反科学规律、客观事实的专业报告或者意见的，</w:t>
      </w:r>
      <w:r>
        <w:rPr>
          <w:rFonts w:hint="eastAsia" w:ascii="仿宋_GB2312" w:hAnsi="仿宋_GB2312" w:eastAsia="仿宋_GB2312" w:cs="仿宋_GB2312"/>
          <w:kern w:val="0"/>
          <w:szCs w:val="32"/>
        </w:rPr>
        <w:t>予以通报批评、责令限期整改，</w:t>
      </w:r>
      <w:r>
        <w:rPr>
          <w:rFonts w:hint="eastAsia" w:ascii="仿宋_GB2312" w:hAnsi="仿宋_GB2312" w:eastAsia="仿宋_GB2312" w:cs="仿宋_GB2312"/>
          <w:bCs/>
          <w:color w:val="000000"/>
          <w:szCs w:val="32"/>
        </w:rPr>
        <w:t>列入不良行为记录名单，在1至3年内禁止其参加论证评估工作；</w:t>
      </w:r>
      <w:r>
        <w:rPr>
          <w:rFonts w:hint="eastAsia" w:ascii="仿宋_GB2312" w:hAnsi="仿宋_GB2312" w:eastAsia="仿宋_GB2312" w:cs="仿宋_GB2312"/>
          <w:kern w:val="0"/>
          <w:szCs w:val="32"/>
        </w:rPr>
        <w:t>造成严重后果的，取消评估资格，依法解除合同并追究责任。</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ascii="仿宋" w:hAnsi="仿宋" w:cs="仿宋"/>
          <w:kern w:val="0"/>
          <w:szCs w:val="32"/>
        </w:rPr>
      </w:pP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ascii="宋体" w:hAnsi="宋体" w:eastAsia="宋体" w:cs="宋体"/>
          <w:b/>
          <w:kern w:val="0"/>
          <w:szCs w:val="32"/>
        </w:rPr>
      </w:pPr>
      <w:r>
        <w:rPr>
          <w:rFonts w:ascii="宋体" w:hAnsi="宋体" w:eastAsia="宋体" w:cs="宋体"/>
          <w:b/>
          <w:kern w:val="0"/>
          <w:szCs w:val="32"/>
        </w:rPr>
        <w:t>第</w:t>
      </w:r>
      <w:r>
        <w:rPr>
          <w:rFonts w:hint="eastAsia" w:ascii="宋体" w:hAnsi="宋体" w:eastAsia="宋体" w:cs="宋体"/>
          <w:b/>
          <w:kern w:val="0"/>
          <w:szCs w:val="32"/>
        </w:rPr>
        <w:t>七</w:t>
      </w:r>
      <w:r>
        <w:rPr>
          <w:rFonts w:ascii="宋体" w:hAnsi="宋体" w:eastAsia="宋体" w:cs="宋体"/>
          <w:b/>
          <w:kern w:val="0"/>
          <w:szCs w:val="32"/>
        </w:rPr>
        <w:t>章</w:t>
      </w:r>
      <w:r>
        <w:rPr>
          <w:rFonts w:hint="eastAsia" w:ascii="宋体" w:hAnsi="宋体" w:eastAsia="宋体" w:cs="宋体"/>
          <w:b/>
          <w:kern w:val="0"/>
          <w:szCs w:val="32"/>
        </w:rPr>
        <w:t xml:space="preserve">  </w:t>
      </w:r>
      <w:r>
        <w:rPr>
          <w:rFonts w:ascii="宋体" w:hAnsi="宋体" w:eastAsia="宋体" w:cs="宋体"/>
          <w:b/>
          <w:kern w:val="0"/>
          <w:szCs w:val="32"/>
        </w:rPr>
        <w:t xml:space="preserve">附 </w:t>
      </w:r>
      <w:r>
        <w:rPr>
          <w:rFonts w:hint="eastAsia" w:ascii="宋体" w:hAnsi="宋体" w:eastAsia="宋体" w:cs="宋体"/>
          <w:b/>
          <w:kern w:val="0"/>
          <w:szCs w:val="32"/>
        </w:rPr>
        <w:t xml:space="preserve"> </w:t>
      </w:r>
      <w:r>
        <w:rPr>
          <w:rFonts w:ascii="宋体" w:hAnsi="宋体" w:eastAsia="宋体" w:cs="宋体"/>
          <w:b/>
          <w:kern w:val="0"/>
          <w:szCs w:val="32"/>
        </w:rPr>
        <w:t>则</w:t>
      </w:r>
      <w:bookmarkStart w:id="34" w:name="55"/>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ascii="宋体" w:hAnsi="宋体" w:eastAsia="宋体" w:cs="宋体"/>
          <w:b/>
          <w:kern w:val="0"/>
          <w:szCs w:val="32"/>
        </w:rPr>
      </w:pP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kern w:val="0"/>
          <w:szCs w:val="32"/>
        </w:rPr>
      </w:pPr>
      <w:r>
        <w:rPr>
          <w:rFonts w:hint="eastAsia" w:ascii="黑体" w:hAnsi="黑体" w:eastAsia="黑体" w:cs="黑体"/>
          <w:kern w:val="0"/>
          <w:szCs w:val="32"/>
        </w:rPr>
        <w:t>第六十七条</w:t>
      </w:r>
      <w:bookmarkEnd w:id="34"/>
      <w:r>
        <w:rPr>
          <w:rFonts w:hint="eastAsia" w:ascii="楷体" w:hAnsi="楷体" w:eastAsia="楷体" w:cs="微软雅黑"/>
          <w:kern w:val="0"/>
          <w:szCs w:val="32"/>
        </w:rPr>
        <w:t xml:space="preserve">【参照执行】 </w:t>
      </w:r>
      <w:r>
        <w:rPr>
          <w:rFonts w:hint="eastAsia" w:ascii="仿宋_GB2312" w:hAnsi="仿宋_GB2312" w:eastAsia="仿宋_GB2312" w:cs="仿宋_GB2312"/>
          <w:kern w:val="0"/>
          <w:szCs w:val="32"/>
        </w:rPr>
        <w:t>县级以上人民政府部门和乡级人民政府重大行政决策的作出和调整程序，参照本规定执行。</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hAnsi="仿宋_GB2312" w:eastAsia="仿宋_GB2312" w:cs="仿宋_GB2312"/>
          <w:kern w:val="0"/>
          <w:szCs w:val="32"/>
        </w:rPr>
      </w:pPr>
      <w:r>
        <w:rPr>
          <w:rFonts w:hint="eastAsia" w:ascii="黑体" w:hAnsi="黑体" w:eastAsia="黑体" w:cs="黑体"/>
          <w:kern w:val="0"/>
          <w:szCs w:val="32"/>
        </w:rPr>
        <w:t>第六十八条</w:t>
      </w:r>
      <w:r>
        <w:rPr>
          <w:rFonts w:hint="eastAsia" w:ascii="楷体" w:hAnsi="楷体" w:eastAsia="楷体" w:cs="微软雅黑"/>
          <w:kern w:val="0"/>
          <w:szCs w:val="32"/>
        </w:rPr>
        <w:t xml:space="preserve">【施行日期】 </w:t>
      </w:r>
      <w:r>
        <w:rPr>
          <w:rFonts w:hint="eastAsia" w:ascii="仿宋_GB2312" w:hAnsi="仿宋_GB2312" w:eastAsia="仿宋_GB2312" w:cs="仿宋_GB2312"/>
          <w:kern w:val="0"/>
          <w:szCs w:val="32"/>
        </w:rPr>
        <w:t>本规定自   年  月  日起施行。省政府以前发布的有关重大行政决策程序的规定与本规定不一致的，以本规定为准。</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ascii="宋体" w:hAnsi="宋体" w:eastAsia="宋体"/>
          <w:szCs w:val="32"/>
        </w:rPr>
      </w:pPr>
    </w:p>
    <w:sectPr>
      <w:footerReference r:id="rId3" w:type="default"/>
      <w:pgSz w:w="11900" w:h="16840"/>
      <w:pgMar w:top="2098" w:right="1474" w:bottom="1984" w:left="1587" w:header="851" w:footer="992" w:gutter="0"/>
      <w:pgNumType w:fmt="numberInDash"/>
      <w:cols w:space="0" w:num="1"/>
      <w:docGrid w:type="linesAndChars" w:linePitch="579" w:charSpace="-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Times">
    <w:altName w:val="Times New Roman"/>
    <w:panose1 w:val="02020603050405020304"/>
    <w:charset w:val="00"/>
    <w:family w:val="auto"/>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等线 Light">
    <w:panose1 w:val="02010600030101010101"/>
    <w:charset w:val="86"/>
    <w:family w:val="auto"/>
    <w:pitch w:val="default"/>
    <w:sig w:usb0="A00002BF" w:usb1="38CF7CFA" w:usb2="00000016" w:usb3="00000000" w:csb0="0004000F" w:csb1="00000000"/>
  </w:font>
  <w:font w:name="Arial">
    <w:panose1 w:val="020B0604020202020204"/>
    <w:charset w:val="00"/>
    <w:family w:val="auto"/>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仿宋" w:hAnsi="仿宋" w:cs="仿宋"/>
      </w:rPr>
    </w:pPr>
    <w:r>
      <w:rPr>
        <w:rFonts w:hint="eastAsia" w:ascii="仿宋" w:hAnsi="仿宋" w:cs="仿宋"/>
      </w:rPr>
      <w:fldChar w:fldCharType="begin"/>
    </w:r>
    <w:r>
      <w:rPr>
        <w:rFonts w:hint="eastAsia" w:ascii="仿宋" w:hAnsi="仿宋" w:cs="仿宋"/>
      </w:rPr>
      <w:instrText xml:space="preserve"> PAGE  \* MERGEFORMAT </w:instrText>
    </w:r>
    <w:r>
      <w:rPr>
        <w:rFonts w:hint="eastAsia" w:ascii="仿宋" w:hAnsi="仿宋" w:cs="仿宋"/>
      </w:rPr>
      <w:fldChar w:fldCharType="separate"/>
    </w:r>
    <w:r>
      <w:rPr>
        <w:rFonts w:ascii="仿宋" w:hAnsi="仿宋" w:cs="仿宋"/>
      </w:rPr>
      <w:t>- 3 -</w:t>
    </w:r>
    <w:r>
      <w:rPr>
        <w:rFonts w:hint="eastAsia" w:ascii="仿宋" w:hAnsi="仿宋" w:cs="仿宋"/>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E6235"/>
    <w:multiLevelType w:val="singleLevel"/>
    <w:tmpl w:val="5E9E6235"/>
    <w:lvl w:ilvl="0" w:tentative="0">
      <w:start w:val="1"/>
      <w:numFmt w:val="chineseCounting"/>
      <w:suff w:val="nothing"/>
      <w:lvlText w:val="（%1）"/>
      <w:lvlJc w:val="left"/>
    </w:lvl>
  </w:abstractNum>
  <w:abstractNum w:abstractNumId="1">
    <w:nsid w:val="5E9EE36E"/>
    <w:multiLevelType w:val="singleLevel"/>
    <w:tmpl w:val="5E9EE36E"/>
    <w:lvl w:ilvl="0" w:tentative="0">
      <w:start w:val="2"/>
      <w:numFmt w:val="chineseCounting"/>
      <w:suff w:val="nothing"/>
      <w:lvlText w:val="第%1章"/>
      <w:lvlJc w:val="left"/>
    </w:lvl>
  </w:abstractNum>
  <w:abstractNum w:abstractNumId="2">
    <w:nsid w:val="5EA29D39"/>
    <w:multiLevelType w:val="singleLevel"/>
    <w:tmpl w:val="5EA29D39"/>
    <w:lvl w:ilvl="0" w:tentative="0">
      <w:start w:val="1"/>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HorizontalSpacing w:val="158"/>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E09EF"/>
    <w:rsid w:val="00060505"/>
    <w:rsid w:val="0006170F"/>
    <w:rsid w:val="00063554"/>
    <w:rsid w:val="00064849"/>
    <w:rsid w:val="0006585B"/>
    <w:rsid w:val="00067724"/>
    <w:rsid w:val="00095F74"/>
    <w:rsid w:val="000B65AB"/>
    <w:rsid w:val="000D2B03"/>
    <w:rsid w:val="00121282"/>
    <w:rsid w:val="00145253"/>
    <w:rsid w:val="00164D79"/>
    <w:rsid w:val="001A570A"/>
    <w:rsid w:val="001B2E61"/>
    <w:rsid w:val="001C1DE0"/>
    <w:rsid w:val="001C2E54"/>
    <w:rsid w:val="00227660"/>
    <w:rsid w:val="00227814"/>
    <w:rsid w:val="002354BD"/>
    <w:rsid w:val="002516B7"/>
    <w:rsid w:val="00260986"/>
    <w:rsid w:val="00270495"/>
    <w:rsid w:val="00291064"/>
    <w:rsid w:val="002A0A17"/>
    <w:rsid w:val="002A4171"/>
    <w:rsid w:val="002B3B46"/>
    <w:rsid w:val="00312F3C"/>
    <w:rsid w:val="00320602"/>
    <w:rsid w:val="003705C0"/>
    <w:rsid w:val="003A58AF"/>
    <w:rsid w:val="003A63F5"/>
    <w:rsid w:val="003D4C70"/>
    <w:rsid w:val="003D5389"/>
    <w:rsid w:val="003D6B74"/>
    <w:rsid w:val="004301CD"/>
    <w:rsid w:val="0043440A"/>
    <w:rsid w:val="00442ED7"/>
    <w:rsid w:val="00450B2B"/>
    <w:rsid w:val="004670EE"/>
    <w:rsid w:val="00477E6E"/>
    <w:rsid w:val="00484B5C"/>
    <w:rsid w:val="004A5FE1"/>
    <w:rsid w:val="004C5341"/>
    <w:rsid w:val="004D7255"/>
    <w:rsid w:val="004E5186"/>
    <w:rsid w:val="005024DA"/>
    <w:rsid w:val="005502ED"/>
    <w:rsid w:val="00566CB1"/>
    <w:rsid w:val="005C37B9"/>
    <w:rsid w:val="00612D76"/>
    <w:rsid w:val="00621ACA"/>
    <w:rsid w:val="006324F1"/>
    <w:rsid w:val="00637B03"/>
    <w:rsid w:val="00647CDD"/>
    <w:rsid w:val="00650418"/>
    <w:rsid w:val="00660C43"/>
    <w:rsid w:val="006971D4"/>
    <w:rsid w:val="006C4E6E"/>
    <w:rsid w:val="006F4DA7"/>
    <w:rsid w:val="007274F6"/>
    <w:rsid w:val="00742D7E"/>
    <w:rsid w:val="00766DD2"/>
    <w:rsid w:val="0077784F"/>
    <w:rsid w:val="007E7A92"/>
    <w:rsid w:val="007F3D88"/>
    <w:rsid w:val="008003B7"/>
    <w:rsid w:val="00801AFF"/>
    <w:rsid w:val="00835950"/>
    <w:rsid w:val="00843C6F"/>
    <w:rsid w:val="0086319C"/>
    <w:rsid w:val="008752A4"/>
    <w:rsid w:val="008D4C62"/>
    <w:rsid w:val="009009FF"/>
    <w:rsid w:val="00904BA4"/>
    <w:rsid w:val="00935066"/>
    <w:rsid w:val="00942CA4"/>
    <w:rsid w:val="00973EC7"/>
    <w:rsid w:val="00981D5A"/>
    <w:rsid w:val="009C0EBF"/>
    <w:rsid w:val="009C2668"/>
    <w:rsid w:val="009E5E8E"/>
    <w:rsid w:val="009F58B3"/>
    <w:rsid w:val="00A06A38"/>
    <w:rsid w:val="00A67AA9"/>
    <w:rsid w:val="00A77FFC"/>
    <w:rsid w:val="00A90FF1"/>
    <w:rsid w:val="00A94C35"/>
    <w:rsid w:val="00AC50FA"/>
    <w:rsid w:val="00AC56D0"/>
    <w:rsid w:val="00AD0376"/>
    <w:rsid w:val="00B011A3"/>
    <w:rsid w:val="00B05588"/>
    <w:rsid w:val="00B13E4F"/>
    <w:rsid w:val="00B17510"/>
    <w:rsid w:val="00B2512D"/>
    <w:rsid w:val="00B609CB"/>
    <w:rsid w:val="00B642F7"/>
    <w:rsid w:val="00B65E28"/>
    <w:rsid w:val="00B70DC6"/>
    <w:rsid w:val="00B85444"/>
    <w:rsid w:val="00BA55C3"/>
    <w:rsid w:val="00BB366A"/>
    <w:rsid w:val="00BD3369"/>
    <w:rsid w:val="00BE09EF"/>
    <w:rsid w:val="00BF7F59"/>
    <w:rsid w:val="00C27C52"/>
    <w:rsid w:val="00C3185B"/>
    <w:rsid w:val="00C45C9D"/>
    <w:rsid w:val="00C6290F"/>
    <w:rsid w:val="00C63086"/>
    <w:rsid w:val="00C65CEA"/>
    <w:rsid w:val="00C66C95"/>
    <w:rsid w:val="00C77163"/>
    <w:rsid w:val="00C8510E"/>
    <w:rsid w:val="00CD656A"/>
    <w:rsid w:val="00CE4924"/>
    <w:rsid w:val="00D348AE"/>
    <w:rsid w:val="00D547D2"/>
    <w:rsid w:val="00D62417"/>
    <w:rsid w:val="00DA6DF8"/>
    <w:rsid w:val="00DC235C"/>
    <w:rsid w:val="00DD0667"/>
    <w:rsid w:val="00DD161B"/>
    <w:rsid w:val="00E16D5E"/>
    <w:rsid w:val="00E56A2E"/>
    <w:rsid w:val="00E703C1"/>
    <w:rsid w:val="00E71382"/>
    <w:rsid w:val="00E76918"/>
    <w:rsid w:val="00E81545"/>
    <w:rsid w:val="00EA0778"/>
    <w:rsid w:val="00EC2E92"/>
    <w:rsid w:val="00EC7BF8"/>
    <w:rsid w:val="00EE0D57"/>
    <w:rsid w:val="00EE65D7"/>
    <w:rsid w:val="00EF4589"/>
    <w:rsid w:val="00F20A71"/>
    <w:rsid w:val="00F27898"/>
    <w:rsid w:val="00F53B12"/>
    <w:rsid w:val="00F81E65"/>
    <w:rsid w:val="00F913BB"/>
    <w:rsid w:val="00FA58FB"/>
    <w:rsid w:val="00FB5AF0"/>
    <w:rsid w:val="00FC09F6"/>
    <w:rsid w:val="00FE73C5"/>
    <w:rsid w:val="02072829"/>
    <w:rsid w:val="039B06C1"/>
    <w:rsid w:val="0B576904"/>
    <w:rsid w:val="0FDB160C"/>
    <w:rsid w:val="13AF751F"/>
    <w:rsid w:val="142F0951"/>
    <w:rsid w:val="15743876"/>
    <w:rsid w:val="18B30844"/>
    <w:rsid w:val="1BAA2F35"/>
    <w:rsid w:val="1BBE70D1"/>
    <w:rsid w:val="1EB355B0"/>
    <w:rsid w:val="1F2F1CBE"/>
    <w:rsid w:val="28F52FCD"/>
    <w:rsid w:val="2A65249C"/>
    <w:rsid w:val="2ACE67A8"/>
    <w:rsid w:val="2EAF09D2"/>
    <w:rsid w:val="2F7E31DF"/>
    <w:rsid w:val="326804B5"/>
    <w:rsid w:val="347F27E2"/>
    <w:rsid w:val="371F2376"/>
    <w:rsid w:val="38560C1F"/>
    <w:rsid w:val="39CF5729"/>
    <w:rsid w:val="3AED3855"/>
    <w:rsid w:val="3D184A35"/>
    <w:rsid w:val="41BE65E5"/>
    <w:rsid w:val="43E20FDA"/>
    <w:rsid w:val="450E2F63"/>
    <w:rsid w:val="49B47F18"/>
    <w:rsid w:val="4BB5562C"/>
    <w:rsid w:val="4C3B7413"/>
    <w:rsid w:val="4E2D01AA"/>
    <w:rsid w:val="51DC1946"/>
    <w:rsid w:val="53731DF2"/>
    <w:rsid w:val="5BE22037"/>
    <w:rsid w:val="5C3141DC"/>
    <w:rsid w:val="64050D56"/>
    <w:rsid w:val="64FD590D"/>
    <w:rsid w:val="652358DA"/>
    <w:rsid w:val="66C452D4"/>
    <w:rsid w:val="6ACE30F9"/>
    <w:rsid w:val="6B017B1D"/>
    <w:rsid w:val="6B9A4F2A"/>
    <w:rsid w:val="6C7956DC"/>
    <w:rsid w:val="6E1B1E52"/>
    <w:rsid w:val="71A14F38"/>
    <w:rsid w:val="71CD2116"/>
    <w:rsid w:val="741B5293"/>
    <w:rsid w:val="75C62B86"/>
    <w:rsid w:val="77185AD1"/>
    <w:rsid w:val="7ECE7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22"/>
      <w:lang w:val="en-US" w:eastAsia="zh-CN" w:bidi="ar-SA"/>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link w:val="11"/>
    <w:unhideWhenUsed/>
    <w:qFormat/>
    <w:uiPriority w:val="99"/>
    <w:pPr>
      <w:jc w:val="left"/>
    </w:pPr>
  </w:style>
  <w:style w:type="paragraph" w:styleId="3">
    <w:name w:val="Balloon Text"/>
    <w:basedOn w:val="1"/>
    <w:link w:val="10"/>
    <w:unhideWhenUsed/>
    <w:qFormat/>
    <w:uiPriority w:val="99"/>
    <w:rPr>
      <w:rFonts w:ascii="宋体" w:eastAsia="宋体"/>
      <w:sz w:val="18"/>
      <w:szCs w:val="18"/>
    </w:r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0"/>
    <w:pPr>
      <w:widowControl/>
      <w:spacing w:before="100" w:beforeAutospacing="1" w:after="100" w:afterAutospacing="1"/>
      <w:jc w:val="left"/>
    </w:pPr>
    <w:rPr>
      <w:rFonts w:ascii="Times" w:hAnsi="Times" w:eastAsia="仿宋_GB2312" w:cs="Times New Roman"/>
      <w:kern w:val="0"/>
      <w:sz w:val="20"/>
      <w:szCs w:val="20"/>
    </w:rPr>
  </w:style>
  <w:style w:type="character" w:styleId="8">
    <w:name w:val="Hyperlink"/>
    <w:basedOn w:val="7"/>
    <w:unhideWhenUsed/>
    <w:qFormat/>
    <w:uiPriority w:val="99"/>
    <w:rPr>
      <w:color w:val="0000FF"/>
      <w:u w:val="single"/>
    </w:rPr>
  </w:style>
  <w:style w:type="character" w:customStyle="1" w:styleId="10">
    <w:name w:val="批注框文本 Char"/>
    <w:basedOn w:val="7"/>
    <w:link w:val="3"/>
    <w:semiHidden/>
    <w:qFormat/>
    <w:uiPriority w:val="99"/>
    <w:rPr>
      <w:rFonts w:ascii="宋体" w:eastAsia="宋体"/>
      <w:sz w:val="18"/>
      <w:szCs w:val="18"/>
    </w:rPr>
  </w:style>
  <w:style w:type="character" w:customStyle="1" w:styleId="11">
    <w:name w:val="批注文字 Char"/>
    <w:basedOn w:val="7"/>
    <w:link w:val="2"/>
    <w:semiHidden/>
    <w:qFormat/>
    <w:uiPriority w:val="99"/>
    <w:rPr>
      <w:szCs w:val="22"/>
    </w:rPr>
  </w:style>
  <w:style w:type="paragraph" w:customStyle="1" w:styleId="12">
    <w:name w:val="列出段落1"/>
    <w:basedOn w:val="1"/>
    <w:qFormat/>
    <w:uiPriority w:val="34"/>
    <w:pPr>
      <w:ind w:firstLine="420" w:firstLineChars="200"/>
    </w:pPr>
  </w:style>
  <w:style w:type="paragraph" w:customStyle="1" w:styleId="13">
    <w:name w:val="正文 New New New"/>
    <w:qFormat/>
    <w:uiPriority w:val="0"/>
    <w:pPr>
      <w:widowControl w:val="0"/>
      <w:jc w:val="both"/>
    </w:pPr>
    <w:rPr>
      <w:rFonts w:ascii="Calibri" w:hAnsi="Calibr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1875</Words>
  <Characters>10690</Characters>
  <Lines>89</Lines>
  <Paragraphs>25</Paragraphs>
  <TotalTime>0</TotalTime>
  <ScaleCrop>false</ScaleCrop>
  <LinksUpToDate>false</LinksUpToDate>
  <CharactersWithSpaces>12540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2020-05-29T01:09:00Z</dcterms:created>
  <dc:creator>sdufengwei@163.com</dc:creator>
  <cp:lastModifiedBy>省司法厅备案审查处</cp:lastModifiedBy>
  <cp:lastPrinted>2020-06-01T06:52:57Z</cp:lastPrinted>
  <dcterms:modified xsi:type="dcterms:W3CDTF">2020-06-01T07:48:39Z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