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jc w:val="center"/>
        <w:rPr>
          <w:rFonts w:hint="eastAsia" w:ascii="方正小标宋简体" w:hAnsi="方正小标宋简体" w:eastAsia="方正小标宋简体" w:cs="方正小标宋简体"/>
          <w:sz w:val="44"/>
          <w:szCs w:val="44"/>
        </w:rPr>
      </w:pPr>
      <w:bookmarkStart w:id="0" w:name="_GoBack"/>
      <w:bookmarkEnd w:id="0"/>
    </w:p>
    <w:p>
      <w:pPr>
        <w:spacing w:line="58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山东省民族宗教委</w:t>
      </w:r>
    </w:p>
    <w:p>
      <w:pPr>
        <w:spacing w:line="58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2018年度政府信息公开报告</w:t>
      </w:r>
    </w:p>
    <w:p>
      <w:pPr>
        <w:ind w:firstLine="640" w:firstLineChars="200"/>
        <w:rPr>
          <w:rFonts w:ascii="仿宋_GB2312" w:hAnsi="仿宋_GB2312" w:eastAsia="仿宋_GB2312" w:cs="仿宋_GB2312"/>
          <w:sz w:val="32"/>
          <w:szCs w:val="32"/>
        </w:rPr>
      </w:pP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中华人民共和国政府信息公开条例》、《山东省政府信息公开办法》、《山东省人民政府办公厅关于进一步做好政务公开工作的通知》的有关规定和省政府办公厅《关于做好2018年度政府信息公开年度报告编制发布工作的通知》要求，现将山东省民族宗教委2018年政府信息公开工作报告如下。</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本报告包括主动公开政府信息的情况、依申请公开政府信息和不予公开政府信息的情况，政府信息公开的收费及减免情况，因政府信息公开申请行政复议、提起行政诉讼的情况，政府信息公开工作存在的主要问题及改进情况，其他需要报告的事项及《山东省人民政府办公厅关于进一步做好政务公开工作的通知》要求的工作要点落实情况等内容。本报告可在山东省人民政府门户网站(http://www.shandong.gov.cn/)和山东省民族宗教委门户网站(http://www.sdmw.gov.cn/)查阅或下载。公民、法人或者其他组织如有其他需求或建议，可与山东省民族宗教委办公室联系，联系地址：山东省济南市历下区省府前街1号，邮政编码：250011，联系电话：0531—86062154。 </w:t>
      </w:r>
    </w:p>
    <w:p>
      <w:pPr>
        <w:ind w:firstLine="640" w:firstLineChars="200"/>
        <w:rPr>
          <w:rFonts w:ascii="黑体" w:hAnsi="黑体" w:eastAsia="黑体" w:cs="黑体"/>
          <w:sz w:val="32"/>
          <w:szCs w:val="32"/>
        </w:rPr>
      </w:pPr>
      <w:r>
        <w:rPr>
          <w:rFonts w:hint="eastAsia" w:ascii="黑体" w:hAnsi="黑体" w:eastAsia="黑体" w:cs="黑体"/>
          <w:sz w:val="32"/>
          <w:szCs w:val="32"/>
        </w:rPr>
        <w:t>一、行政机关主动公开政府信息的情况</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省民族宗教委始终高度重视政府信息公开工作，把主动公开政府信息作为重要工作，紧紧围绕“决策、执行、管理、服务、结果”五公开要求，加大主动公开力度，丰富主动公开途径，主动公开政府信息工作取得扎实成效。2018年，通过山东省政府公报、</w:t>
      </w:r>
      <w:r>
        <w:rPr>
          <w:rFonts w:hint="eastAsia" w:ascii="仿宋_GB2312" w:hAnsi="仿宋_GB2312" w:eastAsia="仿宋_GB2312" w:cs="仿宋_GB2312"/>
          <w:sz w:val="32"/>
          <w:szCs w:val="32"/>
          <w:lang w:eastAsia="zh-CN"/>
        </w:rPr>
        <w:t>省政府</w:t>
      </w:r>
      <w:r>
        <w:rPr>
          <w:rFonts w:hint="eastAsia" w:ascii="仿宋_GB2312" w:hAnsi="仿宋_GB2312" w:eastAsia="仿宋_GB2312" w:cs="仿宋_GB2312"/>
          <w:sz w:val="32"/>
          <w:szCs w:val="32"/>
        </w:rPr>
        <w:t>信息公开管理系统和委门户网站、政务微博、微信、《简报》等平台主动公开政府信息750多条。其中，省政府公报1条、</w:t>
      </w:r>
      <w:r>
        <w:rPr>
          <w:rFonts w:hint="eastAsia" w:ascii="仿宋_GB2312" w:hAnsi="仿宋_GB2312" w:eastAsia="仿宋_GB2312" w:cs="仿宋_GB2312"/>
          <w:sz w:val="32"/>
          <w:szCs w:val="32"/>
          <w:lang w:eastAsia="zh-CN"/>
        </w:rPr>
        <w:t>省政府</w:t>
      </w:r>
      <w:r>
        <w:rPr>
          <w:rFonts w:hint="eastAsia" w:ascii="仿宋_GB2312" w:hAnsi="仿宋_GB2312" w:eastAsia="仿宋_GB2312" w:cs="仿宋_GB2312"/>
          <w:sz w:val="32"/>
          <w:szCs w:val="32"/>
        </w:rPr>
        <w:t>信息公开管理系统52条</w:t>
      </w:r>
      <w:r>
        <w:rPr>
          <w:rFonts w:hint="eastAsia" w:ascii="仿宋_GB2312" w:hAnsi="仿宋_GB2312" w:eastAsia="仿宋_GB2312" w:cs="仿宋_GB2312"/>
          <w:sz w:val="32"/>
          <w:szCs w:val="32"/>
          <w:lang w:eastAsia="zh-CN"/>
        </w:rPr>
        <w:t>，委门户</w:t>
      </w:r>
      <w:r>
        <w:rPr>
          <w:rFonts w:hint="eastAsia" w:ascii="仿宋_GB2312" w:hAnsi="仿宋_GB2312" w:eastAsia="仿宋_GB2312" w:cs="仿宋_GB2312"/>
          <w:sz w:val="32"/>
          <w:szCs w:val="32"/>
        </w:rPr>
        <w:t>网站576条、政务微博19条、微信公众号92条、</w:t>
      </w:r>
      <w:r>
        <w:rPr>
          <w:rFonts w:hint="eastAsia" w:ascii="仿宋_GB2312" w:hAnsi="仿宋_GB2312" w:eastAsia="仿宋_GB2312" w:cs="仿宋_GB2312"/>
          <w:sz w:val="32"/>
          <w:szCs w:val="32"/>
          <w:lang w:eastAsia="zh-CN"/>
        </w:rPr>
        <w:t>《山东民族宗教工作简报》</w:t>
      </w:r>
      <w:r>
        <w:rPr>
          <w:rFonts w:hint="eastAsia" w:ascii="仿宋_GB2312" w:hAnsi="仿宋_GB2312" w:eastAsia="仿宋_GB2312" w:cs="仿宋_GB2312"/>
          <w:sz w:val="32"/>
          <w:szCs w:val="32"/>
        </w:rPr>
        <w:t>19条。</w:t>
      </w:r>
    </w:p>
    <w:p>
      <w:pPr>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（一）加大行政许可、行政处罚、公共服务、“一次办好”事项信息主动公开力度。</w:t>
      </w:r>
      <w:r>
        <w:rPr>
          <w:rFonts w:hint="eastAsia" w:ascii="仿宋_GB2312" w:hAnsi="楷体_GB2312" w:eastAsia="仿宋_GB2312" w:cs="楷体_GB2312"/>
          <w:sz w:val="32"/>
          <w:szCs w:val="32"/>
        </w:rPr>
        <w:t>公开了事项目录、服务指南、办理结果信息，开设了“政务服务”专栏，与省政务服务网做了链接，公开信息内容与省政务服务网公开的相同事项信息内容保持一致。在委门户网站开设了“双公示”信息专栏，与“信用中国（山东）网”做了链接。及时公开了</w:t>
      </w:r>
      <w:r>
        <w:rPr>
          <w:rStyle w:val="10"/>
          <w:rFonts w:hint="eastAsia" w:ascii="仿宋_GB2312" w:eastAsia="仿宋_GB2312"/>
          <w:sz w:val="32"/>
          <w:szCs w:val="32"/>
        </w:rPr>
        <w:t>行政许可工作规程。</w:t>
      </w:r>
    </w:p>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667385"/>
            <wp:effectExtent l="19050" t="0" r="2540" b="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noChangeArrowheads="1"/>
                    </pic:cNvPicPr>
                  </pic:nvPicPr>
                  <pic:blipFill>
                    <a:blip r:embed="rId5" cstate="print"/>
                    <a:srcRect/>
                    <a:stretch>
                      <a:fillRect/>
                    </a:stretch>
                  </pic:blipFill>
                  <pic:spPr>
                    <a:xfrm>
                      <a:off x="0" y="0"/>
                      <a:ext cx="5274310" cy="667546"/>
                    </a:xfrm>
                    <a:prstGeom prst="rect">
                      <a:avLst/>
                    </a:prstGeom>
                    <a:noFill/>
                    <a:ln w="9525">
                      <a:noFill/>
                      <a:miter lim="800000"/>
                      <a:headEnd/>
                      <a:tailEnd/>
                    </a:ln>
                  </pic:spPr>
                </pic:pic>
              </a:graphicData>
            </a:graphic>
          </wp:inline>
        </w:drawing>
      </w:r>
    </w:p>
    <w:p>
      <w:pPr>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4737100" cy="1136650"/>
            <wp:effectExtent l="1905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cstate="print"/>
                    <a:srcRect/>
                    <a:stretch>
                      <a:fillRect/>
                    </a:stretch>
                  </pic:blipFill>
                  <pic:spPr>
                    <a:xfrm>
                      <a:off x="0" y="0"/>
                      <a:ext cx="4737100" cy="1136650"/>
                    </a:xfrm>
                    <a:prstGeom prst="rect">
                      <a:avLst/>
                    </a:prstGeom>
                    <a:noFill/>
                    <a:ln w="9525">
                      <a:noFill/>
                      <a:miter lim="800000"/>
                      <a:headEnd/>
                      <a:tailEnd/>
                    </a:ln>
                  </pic:spPr>
                </pic:pic>
              </a:graphicData>
            </a:graphic>
          </wp:inline>
        </w:drawing>
      </w:r>
    </w:p>
    <w:p>
      <w:pPr>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5274310" cy="2973705"/>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cstate="print"/>
                    <a:srcRect/>
                    <a:stretch>
                      <a:fillRect/>
                    </a:stretch>
                  </pic:blipFill>
                  <pic:spPr>
                    <a:xfrm>
                      <a:off x="0" y="0"/>
                      <a:ext cx="5274310" cy="2974286"/>
                    </a:xfrm>
                    <a:prstGeom prst="rect">
                      <a:avLst/>
                    </a:prstGeom>
                    <a:noFill/>
                    <a:ln w="9525">
                      <a:noFill/>
                      <a:miter lim="800000"/>
                      <a:headEnd/>
                      <a:tailEnd/>
                    </a:ln>
                  </pic:spPr>
                </pic:pic>
              </a:graphicData>
            </a:graphic>
          </wp:inline>
        </w:drawing>
      </w:r>
    </w:p>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2317115"/>
            <wp:effectExtent l="19050" t="0" r="2540" b="0"/>
            <wp:docPr id="3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7"/>
                    <pic:cNvPicPr>
                      <a:picLocks noChangeAspect="1" noChangeArrowheads="1"/>
                    </pic:cNvPicPr>
                  </pic:nvPicPr>
                  <pic:blipFill>
                    <a:blip r:embed="rId8" cstate="print"/>
                    <a:srcRect/>
                    <a:stretch>
                      <a:fillRect/>
                    </a:stretch>
                  </pic:blipFill>
                  <pic:spPr>
                    <a:xfrm>
                      <a:off x="0" y="0"/>
                      <a:ext cx="5274310" cy="2317124"/>
                    </a:xfrm>
                    <a:prstGeom prst="rect">
                      <a:avLst/>
                    </a:prstGeom>
                    <a:noFill/>
                    <a:ln w="9525">
                      <a:noFill/>
                      <a:miter lim="800000"/>
                      <a:headEnd/>
                      <a:tailEnd/>
                    </a:ln>
                  </pic:spPr>
                </pic:pic>
              </a:graphicData>
            </a:graphic>
          </wp:inline>
        </w:drawing>
      </w:r>
    </w:p>
    <w:p>
      <w:pPr>
        <w:ind w:firstLine="640" w:firstLineChars="200"/>
        <w:rPr>
          <w:rFonts w:ascii="仿宋_GB2312" w:hAnsi="仿宋_GB2312" w:eastAsia="仿宋_GB2312" w:cs="仿宋_GB2312"/>
          <w:sz w:val="32"/>
          <w:szCs w:val="32"/>
        </w:rPr>
      </w:pPr>
    </w:p>
    <w:p>
      <w:r>
        <w:drawing>
          <wp:inline distT="0" distB="0" distL="0" distR="0">
            <wp:extent cx="5274310" cy="2272665"/>
            <wp:effectExtent l="19050" t="0" r="2540"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noChangeArrowheads="1"/>
                    </pic:cNvPicPr>
                  </pic:nvPicPr>
                  <pic:blipFill>
                    <a:blip r:embed="rId9" cstate="print"/>
                    <a:srcRect/>
                    <a:stretch>
                      <a:fillRect/>
                    </a:stretch>
                  </pic:blipFill>
                  <pic:spPr>
                    <a:xfrm>
                      <a:off x="0" y="0"/>
                      <a:ext cx="5274310" cy="2272714"/>
                    </a:xfrm>
                    <a:prstGeom prst="rect">
                      <a:avLst/>
                    </a:prstGeom>
                    <a:noFill/>
                    <a:ln w="9525">
                      <a:noFill/>
                      <a:miter lim="800000"/>
                      <a:headEnd/>
                      <a:tailEnd/>
                    </a:ln>
                  </pic:spPr>
                </pic:pic>
              </a:graphicData>
            </a:graphic>
          </wp:inline>
        </w:drawing>
      </w:r>
    </w:p>
    <w:p/>
    <w:p>
      <w:pPr>
        <w:rPr>
          <w:rFonts w:ascii="仿宋_GB2312" w:eastAsia="仿宋_GB2312"/>
          <w:sz w:val="32"/>
          <w:szCs w:val="32"/>
        </w:rPr>
      </w:pPr>
      <w:r>
        <w:drawing>
          <wp:inline distT="0" distB="0" distL="0" distR="0">
            <wp:extent cx="5274310" cy="1858645"/>
            <wp:effectExtent l="19050" t="0" r="2540" b="0"/>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noChangeArrowheads="1"/>
                    </pic:cNvPicPr>
                  </pic:nvPicPr>
                  <pic:blipFill>
                    <a:blip r:embed="rId10" cstate="print"/>
                    <a:srcRect/>
                    <a:stretch>
                      <a:fillRect/>
                    </a:stretch>
                  </pic:blipFill>
                  <pic:spPr>
                    <a:xfrm>
                      <a:off x="0" y="0"/>
                      <a:ext cx="5274310" cy="1858938"/>
                    </a:xfrm>
                    <a:prstGeom prst="rect">
                      <a:avLst/>
                    </a:prstGeom>
                    <a:noFill/>
                    <a:ln w="9525">
                      <a:noFill/>
                      <a:miter lim="800000"/>
                      <a:headEnd/>
                      <a:tailEnd/>
                    </a:ln>
                  </pic:spPr>
                </pic:pic>
              </a:graphicData>
            </a:graphic>
          </wp:inline>
        </w:drawing>
      </w:r>
    </w:p>
    <w:p>
      <w:pPr>
        <w:ind w:firstLine="640" w:firstLineChars="200"/>
      </w:pPr>
      <w:r>
        <w:rPr>
          <w:rFonts w:hint="eastAsia" w:ascii="仿宋_GB2312" w:eastAsia="仿宋_GB2312"/>
          <w:sz w:val="32"/>
          <w:szCs w:val="32"/>
        </w:rPr>
        <w:t>及时公开“群众办事百项堵点疏解行动”聚焦事项信息。</w:t>
      </w:r>
    </w:p>
    <w:p>
      <w:pP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5274310" cy="1844675"/>
            <wp:effectExtent l="19050" t="0" r="2540" b="0"/>
            <wp:docPr id="3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4"/>
                    <pic:cNvPicPr>
                      <a:picLocks noChangeAspect="1" noChangeArrowheads="1"/>
                    </pic:cNvPicPr>
                  </pic:nvPicPr>
                  <pic:blipFill>
                    <a:blip r:embed="rId11" cstate="print"/>
                    <a:srcRect/>
                    <a:stretch>
                      <a:fillRect/>
                    </a:stretch>
                  </pic:blipFill>
                  <pic:spPr>
                    <a:xfrm>
                      <a:off x="0" y="0"/>
                      <a:ext cx="5274310" cy="1844709"/>
                    </a:xfrm>
                    <a:prstGeom prst="rect">
                      <a:avLst/>
                    </a:prstGeom>
                    <a:noFill/>
                    <a:ln w="9525">
                      <a:noFill/>
                      <a:miter lim="800000"/>
                      <a:headEnd/>
                      <a:tailEnd/>
                    </a:ln>
                  </pic:spPr>
                </pic:pic>
              </a:graphicData>
            </a:graphic>
          </wp:inline>
        </w:drawing>
      </w:r>
    </w:p>
    <w:p>
      <w:pPr>
        <w:ind w:firstLine="420" w:firstLineChars="200"/>
      </w:pPr>
    </w:p>
    <w:p>
      <w:pPr>
        <w:ind w:firstLine="640" w:firstLineChars="200"/>
        <w:rPr>
          <w:rFonts w:ascii="仿宋_GB2312" w:hAnsi="楷体_GB2312" w:eastAsia="仿宋_GB2312" w:cs="楷体_GB2312"/>
          <w:sz w:val="32"/>
          <w:szCs w:val="32"/>
        </w:rPr>
      </w:pPr>
      <w:r>
        <w:rPr>
          <w:rFonts w:hint="eastAsia" w:ascii="楷体_GB2312" w:hAnsi="楷体_GB2312" w:eastAsia="楷体_GB2312" w:cs="楷体_GB2312"/>
          <w:sz w:val="32"/>
          <w:szCs w:val="32"/>
        </w:rPr>
        <w:t>（二）主动公开部门财务预决算信息。</w:t>
      </w:r>
      <w:r>
        <w:rPr>
          <w:rFonts w:hint="eastAsia" w:ascii="仿宋_GB2312" w:hAnsi="楷体_GB2312" w:eastAsia="仿宋_GB2312" w:cs="楷体_GB2312"/>
          <w:sz w:val="32"/>
          <w:szCs w:val="32"/>
        </w:rPr>
        <w:t>公开了2018年度部门预算和2017年度部门决算信息。</w:t>
      </w:r>
    </w:p>
    <w:p>
      <w:pPr>
        <w:rPr>
          <w:rFonts w:ascii="仿宋_GB2312" w:hAnsi="仿宋_GB2312" w:eastAsia="仿宋_GB2312" w:cs="仿宋_GB2312"/>
          <w:sz w:val="32"/>
          <w:szCs w:val="32"/>
        </w:rPr>
      </w:pPr>
      <w:r>
        <w:drawing>
          <wp:inline distT="0" distB="0" distL="0" distR="0">
            <wp:extent cx="5269865" cy="2390775"/>
            <wp:effectExtent l="19050" t="0" r="6837" b="0"/>
            <wp:docPr id="3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0"/>
                    <pic:cNvPicPr>
                      <a:picLocks noChangeAspect="1" noChangeArrowheads="1"/>
                    </pic:cNvPicPr>
                  </pic:nvPicPr>
                  <pic:blipFill>
                    <a:blip r:embed="rId12" cstate="print"/>
                    <a:srcRect/>
                    <a:stretch>
                      <a:fillRect/>
                    </a:stretch>
                  </pic:blipFill>
                  <pic:spPr>
                    <a:xfrm>
                      <a:off x="0" y="0"/>
                      <a:ext cx="5274310" cy="2392724"/>
                    </a:xfrm>
                    <a:prstGeom prst="rect">
                      <a:avLst/>
                    </a:prstGeom>
                    <a:noFill/>
                    <a:ln w="9525">
                      <a:noFill/>
                      <a:miter lim="800000"/>
                      <a:headEnd/>
                      <a:tailEnd/>
                    </a:ln>
                  </pic:spPr>
                </pic:pic>
              </a:graphicData>
            </a:graphic>
          </wp:inline>
        </w:drawing>
      </w:r>
      <w:r>
        <w:rPr>
          <w:rFonts w:ascii="仿宋_GB2312" w:hAnsi="仿宋_GB2312" w:eastAsia="仿宋_GB2312" w:cs="仿宋_GB2312"/>
          <w:sz w:val="32"/>
          <w:szCs w:val="32"/>
        </w:rPr>
        <w:drawing>
          <wp:inline distT="0" distB="0" distL="0" distR="0">
            <wp:extent cx="5267960" cy="2209800"/>
            <wp:effectExtent l="19050" t="0" r="8651" b="0"/>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13" cstate="print"/>
                    <a:srcRect/>
                    <a:stretch>
                      <a:fillRect/>
                    </a:stretch>
                  </pic:blipFill>
                  <pic:spPr>
                    <a:xfrm>
                      <a:off x="0" y="0"/>
                      <a:ext cx="5274310" cy="2212363"/>
                    </a:xfrm>
                    <a:prstGeom prst="rect">
                      <a:avLst/>
                    </a:prstGeom>
                    <a:noFill/>
                    <a:ln w="9525">
                      <a:noFill/>
                      <a:miter lim="800000"/>
                      <a:headEnd/>
                      <a:tailEnd/>
                    </a:ln>
                  </pic:spPr>
                </pic:pic>
              </a:graphicData>
            </a:graphic>
          </wp:inline>
        </w:drawing>
      </w:r>
    </w:p>
    <w:p>
      <w:pPr>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（三）根据机构改革情况，及时公开机构概况和领导信息。</w:t>
      </w:r>
      <w:r>
        <w:rPr>
          <w:rFonts w:hint="eastAsia" w:ascii="仿宋_GB2312" w:hAnsi="楷体_GB2312" w:eastAsia="仿宋_GB2312" w:cs="楷体_GB2312"/>
          <w:sz w:val="32"/>
          <w:szCs w:val="32"/>
        </w:rPr>
        <w:t>及时公开了省民族宗教委机构改革情况，以及领导职务、分工变化情况。同时，因我委“三定”方案为涉密件，不属主动公开范围。</w:t>
      </w:r>
    </w:p>
    <w:p>
      <w:r>
        <w:t xml:space="preserve"> </w:t>
      </w:r>
      <w:r>
        <w:drawing>
          <wp:inline distT="0" distB="0" distL="0" distR="0">
            <wp:extent cx="5274310" cy="1083945"/>
            <wp:effectExtent l="19050" t="0" r="2540" b="0"/>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noChangeArrowheads="1"/>
                    </pic:cNvPicPr>
                  </pic:nvPicPr>
                  <pic:blipFill>
                    <a:blip r:embed="rId14" cstate="print"/>
                    <a:srcRect/>
                    <a:stretch>
                      <a:fillRect/>
                    </a:stretch>
                  </pic:blipFill>
                  <pic:spPr>
                    <a:xfrm>
                      <a:off x="0" y="0"/>
                      <a:ext cx="5274310" cy="1084438"/>
                    </a:xfrm>
                    <a:prstGeom prst="rect">
                      <a:avLst/>
                    </a:prstGeom>
                    <a:noFill/>
                    <a:ln w="9525">
                      <a:noFill/>
                      <a:miter lim="800000"/>
                      <a:headEnd/>
                      <a:tailEnd/>
                    </a:ln>
                  </pic:spPr>
                </pic:pic>
              </a:graphicData>
            </a:graphic>
          </wp:inline>
        </w:drawing>
      </w:r>
    </w:p>
    <w:p>
      <w:pP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5274310" cy="863600"/>
            <wp:effectExtent l="1905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5" cstate="print"/>
                    <a:srcRect/>
                    <a:stretch>
                      <a:fillRect/>
                    </a:stretch>
                  </pic:blipFill>
                  <pic:spPr>
                    <a:xfrm>
                      <a:off x="0" y="0"/>
                      <a:ext cx="5274310" cy="863937"/>
                    </a:xfrm>
                    <a:prstGeom prst="rect">
                      <a:avLst/>
                    </a:prstGeom>
                    <a:noFill/>
                    <a:ln w="9525">
                      <a:noFill/>
                      <a:miter lim="800000"/>
                      <a:headEnd/>
                      <a:tailEnd/>
                    </a:ln>
                  </pic:spPr>
                </pic:pic>
              </a:graphicData>
            </a:graphic>
          </wp:inline>
        </w:drawing>
      </w:r>
    </w:p>
    <w:p>
      <w:pPr>
        <w:ind w:firstLine="640" w:firstLineChars="200"/>
        <w:rPr>
          <w:rFonts w:ascii="楷体_GB2312" w:hAnsi="楷体_GB2312" w:eastAsia="楷体_GB2312" w:cs="楷体_GB2312"/>
          <w:sz w:val="32"/>
          <w:szCs w:val="32"/>
        </w:rPr>
      </w:pPr>
    </w:p>
    <w:p>
      <w:pPr>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（四）主动公开人事任免、招考招录信息。</w:t>
      </w:r>
    </w:p>
    <w:p>
      <w:pPr>
        <w:rPr>
          <w:rFonts w:ascii="楷体_GB2312" w:hAnsi="楷体_GB2312" w:eastAsia="楷体_GB2312" w:cs="楷体_GB2312"/>
          <w:sz w:val="32"/>
          <w:szCs w:val="32"/>
        </w:rPr>
      </w:pPr>
      <w:r>
        <w:rPr>
          <w:rFonts w:ascii="楷体_GB2312" w:hAnsi="楷体_GB2312" w:eastAsia="楷体_GB2312" w:cs="楷体_GB2312"/>
          <w:sz w:val="32"/>
          <w:szCs w:val="32"/>
        </w:rPr>
        <w:drawing>
          <wp:inline distT="0" distB="0" distL="0" distR="0">
            <wp:extent cx="5274310" cy="1323340"/>
            <wp:effectExtent l="1905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6" cstate="print"/>
                    <a:srcRect/>
                    <a:stretch>
                      <a:fillRect/>
                    </a:stretch>
                  </pic:blipFill>
                  <pic:spPr>
                    <a:xfrm>
                      <a:off x="0" y="0"/>
                      <a:ext cx="5274310" cy="1323848"/>
                    </a:xfrm>
                    <a:prstGeom prst="rect">
                      <a:avLst/>
                    </a:prstGeom>
                    <a:noFill/>
                    <a:ln w="9525">
                      <a:noFill/>
                      <a:miter lim="800000"/>
                      <a:headEnd/>
                      <a:tailEnd/>
                    </a:ln>
                  </pic:spPr>
                </pic:pic>
              </a:graphicData>
            </a:graphic>
          </wp:inline>
        </w:drawing>
      </w:r>
    </w:p>
    <w:p>
      <w:pPr>
        <w:rPr>
          <w:rFonts w:ascii="楷体_GB2312" w:hAnsi="楷体_GB2312" w:eastAsia="楷体_GB2312" w:cs="楷体_GB2312"/>
          <w:sz w:val="32"/>
          <w:szCs w:val="32"/>
        </w:rPr>
      </w:pPr>
      <w:r>
        <w:rPr>
          <w:rFonts w:ascii="楷体_GB2312" w:hAnsi="楷体_GB2312" w:eastAsia="楷体_GB2312" w:cs="楷体_GB2312"/>
          <w:sz w:val="32"/>
          <w:szCs w:val="32"/>
        </w:rPr>
        <w:drawing>
          <wp:inline distT="0" distB="0" distL="0" distR="0">
            <wp:extent cx="5274310" cy="2206625"/>
            <wp:effectExtent l="1905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17" cstate="print"/>
                    <a:srcRect/>
                    <a:stretch>
                      <a:fillRect/>
                    </a:stretch>
                  </pic:blipFill>
                  <pic:spPr>
                    <a:xfrm>
                      <a:off x="0" y="0"/>
                      <a:ext cx="5274310" cy="2207241"/>
                    </a:xfrm>
                    <a:prstGeom prst="rect">
                      <a:avLst/>
                    </a:prstGeom>
                    <a:noFill/>
                    <a:ln w="9525">
                      <a:noFill/>
                      <a:miter lim="800000"/>
                      <a:headEnd/>
                      <a:tailEnd/>
                    </a:ln>
                  </pic:spPr>
                </pic:pic>
              </a:graphicData>
            </a:graphic>
          </wp:inline>
        </w:drawing>
      </w:r>
    </w:p>
    <w:p>
      <w:pPr>
        <w:ind w:firstLine="640" w:firstLineChars="200"/>
        <w:rPr>
          <w:rFonts w:ascii="楷体_GB2312" w:hAnsi="楷体_GB2312" w:eastAsia="楷体_GB2312" w:cs="楷体_GB2312"/>
          <w:sz w:val="32"/>
          <w:szCs w:val="32"/>
        </w:rPr>
      </w:pPr>
    </w:p>
    <w:p>
      <w:pPr>
        <w:ind w:firstLine="640" w:firstLineChars="200"/>
        <w:rPr>
          <w:rFonts w:ascii="仿宋_GB2312" w:hAnsi="楷体_GB2312" w:eastAsia="仿宋_GB2312" w:cs="楷体_GB2312"/>
          <w:sz w:val="32"/>
          <w:szCs w:val="32"/>
        </w:rPr>
      </w:pPr>
      <w:r>
        <w:rPr>
          <w:rFonts w:hint="eastAsia" w:ascii="楷体_GB2312" w:hAnsi="楷体_GB2312" w:eastAsia="楷体_GB2312" w:cs="楷体_GB2312"/>
          <w:sz w:val="32"/>
          <w:szCs w:val="32"/>
        </w:rPr>
        <w:t>（五）主动公开法律法规、政策文件及解读。</w:t>
      </w:r>
      <w:r>
        <w:rPr>
          <w:rFonts w:hint="eastAsia" w:ascii="仿宋_GB2312" w:hAnsi="楷体_GB2312" w:eastAsia="仿宋_GB2312" w:cs="楷体_GB2312"/>
          <w:sz w:val="32"/>
          <w:szCs w:val="32"/>
        </w:rPr>
        <w:t>对出台的规范性文件、政策性文件，公开属性认定为“主动公开”的全部予以主动公开。</w:t>
      </w:r>
    </w:p>
    <w:p>
      <w:pPr>
        <w:rPr>
          <w:rFonts w:ascii="仿宋_GB2312" w:hAnsi="楷体_GB2312" w:eastAsia="仿宋_GB2312" w:cs="楷体_GB2312"/>
          <w:sz w:val="32"/>
          <w:szCs w:val="32"/>
        </w:rPr>
      </w:pPr>
      <w:r>
        <w:rPr>
          <w:rFonts w:hint="eastAsia" w:ascii="仿宋_GB2312" w:hAnsi="楷体_GB2312" w:eastAsia="仿宋_GB2312" w:cs="楷体_GB2312"/>
          <w:sz w:val="32"/>
          <w:szCs w:val="32"/>
        </w:rPr>
        <w:drawing>
          <wp:inline distT="0" distB="0" distL="0" distR="0">
            <wp:extent cx="5172075" cy="619125"/>
            <wp:effectExtent l="19050" t="0" r="952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18" cstate="print"/>
                    <a:srcRect/>
                    <a:stretch>
                      <a:fillRect/>
                    </a:stretch>
                  </pic:blipFill>
                  <pic:spPr>
                    <a:xfrm>
                      <a:off x="0" y="0"/>
                      <a:ext cx="5172075" cy="619125"/>
                    </a:xfrm>
                    <a:prstGeom prst="rect">
                      <a:avLst/>
                    </a:prstGeom>
                    <a:noFill/>
                    <a:ln w="9525">
                      <a:noFill/>
                      <a:miter lim="800000"/>
                      <a:headEnd/>
                      <a:tailEnd/>
                    </a:ln>
                  </pic:spPr>
                </pic:pic>
              </a:graphicData>
            </a:graphic>
          </wp:inline>
        </w:drawing>
      </w:r>
    </w:p>
    <w:p>
      <w:pPr>
        <w:jc w:val="center"/>
      </w:pPr>
      <w:r>
        <w:rPr>
          <w:rFonts w:hint="eastAsia"/>
        </w:rPr>
        <w:drawing>
          <wp:inline distT="0" distB="0" distL="0" distR="0">
            <wp:extent cx="5274310" cy="1894840"/>
            <wp:effectExtent l="19050" t="0" r="2540" b="0"/>
            <wp:docPr id="43"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7"/>
                    <pic:cNvPicPr>
                      <a:picLocks noChangeAspect="1" noChangeArrowheads="1"/>
                    </pic:cNvPicPr>
                  </pic:nvPicPr>
                  <pic:blipFill>
                    <a:blip r:embed="rId19" cstate="print"/>
                    <a:srcRect/>
                    <a:stretch>
                      <a:fillRect/>
                    </a:stretch>
                  </pic:blipFill>
                  <pic:spPr>
                    <a:xfrm>
                      <a:off x="0" y="0"/>
                      <a:ext cx="5274310" cy="1895349"/>
                    </a:xfrm>
                    <a:prstGeom prst="rect">
                      <a:avLst/>
                    </a:prstGeom>
                    <a:noFill/>
                    <a:ln w="9525">
                      <a:noFill/>
                      <a:miter lim="800000"/>
                      <a:headEnd/>
                      <a:tailEnd/>
                    </a:ln>
                  </pic:spPr>
                </pic:pic>
              </a:graphicData>
            </a:graphic>
          </wp:inline>
        </w:drawing>
      </w:r>
      <w:r>
        <w:rPr>
          <w:rFonts w:hint="eastAsia"/>
        </w:rPr>
        <w:drawing>
          <wp:inline distT="0" distB="0" distL="0" distR="0">
            <wp:extent cx="5274310" cy="1250315"/>
            <wp:effectExtent l="19050" t="0" r="2540" b="0"/>
            <wp:docPr id="4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4"/>
                    <pic:cNvPicPr>
                      <a:picLocks noChangeAspect="1" noChangeArrowheads="1"/>
                    </pic:cNvPicPr>
                  </pic:nvPicPr>
                  <pic:blipFill>
                    <a:blip r:embed="rId20" cstate="print"/>
                    <a:srcRect/>
                    <a:stretch>
                      <a:fillRect/>
                    </a:stretch>
                  </pic:blipFill>
                  <pic:spPr>
                    <a:xfrm>
                      <a:off x="0" y="0"/>
                      <a:ext cx="5274310" cy="1250889"/>
                    </a:xfrm>
                    <a:prstGeom prst="rect">
                      <a:avLst/>
                    </a:prstGeom>
                    <a:noFill/>
                    <a:ln w="9525">
                      <a:noFill/>
                      <a:miter lim="800000"/>
                      <a:headEnd/>
                      <a:tailEnd/>
                    </a:ln>
                  </pic:spPr>
                </pic:pic>
              </a:graphicData>
            </a:graphic>
          </wp:inline>
        </w:drawing>
      </w:r>
    </w:p>
    <w:p>
      <w:pPr>
        <w:ind w:firstLine="420" w:firstLineChars="200"/>
      </w:pPr>
    </w:p>
    <w:p>
      <w:pPr>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（六）主动公开工作总结、规划信息。</w:t>
      </w:r>
    </w:p>
    <w:p>
      <w:pPr>
        <w:rPr>
          <w:rFonts w:ascii="楷体_GB2312" w:hAnsi="楷体_GB2312" w:eastAsia="楷体_GB2312" w:cs="楷体_GB2312"/>
          <w:sz w:val="32"/>
          <w:szCs w:val="32"/>
        </w:rPr>
      </w:pPr>
      <w:r>
        <w:rPr>
          <w:rFonts w:ascii="楷体_GB2312" w:hAnsi="楷体_GB2312" w:eastAsia="楷体_GB2312" w:cs="楷体_GB2312"/>
          <w:sz w:val="32"/>
          <w:szCs w:val="32"/>
        </w:rPr>
        <w:drawing>
          <wp:inline distT="0" distB="0" distL="0" distR="0">
            <wp:extent cx="5274310" cy="924560"/>
            <wp:effectExtent l="1905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21" cstate="print"/>
                    <a:srcRect/>
                    <a:stretch>
                      <a:fillRect/>
                    </a:stretch>
                  </pic:blipFill>
                  <pic:spPr>
                    <a:xfrm>
                      <a:off x="0" y="0"/>
                      <a:ext cx="5274310" cy="925005"/>
                    </a:xfrm>
                    <a:prstGeom prst="rect">
                      <a:avLst/>
                    </a:prstGeom>
                    <a:noFill/>
                    <a:ln w="9525">
                      <a:noFill/>
                      <a:miter lim="800000"/>
                      <a:headEnd/>
                      <a:tailEnd/>
                    </a:ln>
                  </pic:spPr>
                </pic:pic>
              </a:graphicData>
            </a:graphic>
          </wp:inline>
        </w:drawing>
      </w:r>
    </w:p>
    <w:p>
      <w:r>
        <w:drawing>
          <wp:inline distT="0" distB="0" distL="0" distR="0">
            <wp:extent cx="5274310" cy="306070"/>
            <wp:effectExtent l="1905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22" cstate="print"/>
                    <a:srcRect/>
                    <a:stretch>
                      <a:fillRect/>
                    </a:stretch>
                  </pic:blipFill>
                  <pic:spPr>
                    <a:xfrm>
                      <a:off x="0" y="0"/>
                      <a:ext cx="5274310" cy="306445"/>
                    </a:xfrm>
                    <a:prstGeom prst="rect">
                      <a:avLst/>
                    </a:prstGeom>
                    <a:noFill/>
                    <a:ln w="9525">
                      <a:noFill/>
                      <a:miter lim="800000"/>
                      <a:headEnd/>
                      <a:tailEnd/>
                    </a:ln>
                  </pic:spPr>
                </pic:pic>
              </a:graphicData>
            </a:graphic>
          </wp:inline>
        </w:drawing>
      </w:r>
    </w:p>
    <w:p>
      <w:pPr>
        <w:ind w:firstLine="420" w:firstLineChars="200"/>
      </w:pPr>
    </w:p>
    <w:p>
      <w:pPr>
        <w:ind w:firstLine="640" w:firstLineChars="200"/>
        <w:rPr>
          <w:rFonts w:ascii="仿宋_GB2312" w:hAnsi="楷体_GB2312" w:eastAsia="仿宋_GB2312" w:cs="楷体_GB2312"/>
          <w:sz w:val="32"/>
          <w:szCs w:val="32"/>
        </w:rPr>
      </w:pPr>
      <w:r>
        <w:rPr>
          <w:rFonts w:hint="eastAsia" w:ascii="楷体_GB2312" w:hAnsi="楷体_GB2312" w:eastAsia="楷体_GB2312" w:cs="楷体_GB2312"/>
          <w:sz w:val="32"/>
          <w:szCs w:val="32"/>
        </w:rPr>
        <w:t>（七）主动公开建议提案办理信息。</w:t>
      </w:r>
      <w:r>
        <w:rPr>
          <w:rFonts w:hint="eastAsia" w:ascii="仿宋_GB2312" w:hAnsi="楷体_GB2312" w:eastAsia="仿宋_GB2312" w:cs="楷体_GB2312"/>
          <w:sz w:val="32"/>
          <w:szCs w:val="32"/>
        </w:rPr>
        <w:t>公开了人大建议、政协提案办理结果中可公开的内容，公开了建议提案办理整体情况总结。</w:t>
      </w:r>
    </w:p>
    <w:p>
      <w:pP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5274310" cy="1129665"/>
            <wp:effectExtent l="1905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23" cstate="print"/>
                    <a:srcRect/>
                    <a:stretch>
                      <a:fillRect/>
                    </a:stretch>
                  </pic:blipFill>
                  <pic:spPr>
                    <a:xfrm>
                      <a:off x="0" y="0"/>
                      <a:ext cx="5274310" cy="1129901"/>
                    </a:xfrm>
                    <a:prstGeom prst="rect">
                      <a:avLst/>
                    </a:prstGeom>
                    <a:noFill/>
                    <a:ln w="9525">
                      <a:noFill/>
                      <a:miter lim="800000"/>
                      <a:headEnd/>
                      <a:tailEnd/>
                    </a:ln>
                  </pic:spPr>
                </pic:pic>
              </a:graphicData>
            </a:graphic>
          </wp:inline>
        </w:drawing>
      </w:r>
    </w:p>
    <w:p>
      <w:pPr>
        <w:ind w:firstLine="640" w:firstLineChars="200"/>
        <w:rPr>
          <w:rFonts w:ascii="楷体_GB2312" w:hAnsi="楷体_GB2312" w:eastAsia="楷体_GB2312" w:cs="楷体_GB2312"/>
          <w:sz w:val="32"/>
          <w:szCs w:val="32"/>
        </w:rPr>
      </w:pPr>
    </w:p>
    <w:p>
      <w:pPr>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（八）主动公开重要业务工作的公示和征求意见建议信息。</w:t>
      </w:r>
    </w:p>
    <w:p>
      <w:r>
        <w:drawing>
          <wp:inline distT="0" distB="0" distL="0" distR="0">
            <wp:extent cx="5274310" cy="1210310"/>
            <wp:effectExtent l="19050" t="0" r="254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24" cstate="print"/>
                    <a:srcRect/>
                    <a:stretch>
                      <a:fillRect/>
                    </a:stretch>
                  </pic:blipFill>
                  <pic:spPr>
                    <a:xfrm>
                      <a:off x="0" y="0"/>
                      <a:ext cx="5274310" cy="1210753"/>
                    </a:xfrm>
                    <a:prstGeom prst="rect">
                      <a:avLst/>
                    </a:prstGeom>
                    <a:noFill/>
                    <a:ln w="9525">
                      <a:noFill/>
                      <a:miter lim="800000"/>
                      <a:headEnd/>
                      <a:tailEnd/>
                    </a:ln>
                  </pic:spPr>
                </pic:pic>
              </a:graphicData>
            </a:graphic>
          </wp:inline>
        </w:drawing>
      </w:r>
    </w:p>
    <w:p>
      <w:pPr>
        <w:ind w:firstLine="420" w:firstLineChars="200"/>
      </w:pPr>
    </w:p>
    <w:p>
      <w:pPr>
        <w:ind w:firstLine="640" w:firstLineChars="200"/>
        <w:rPr>
          <w:rFonts w:ascii="仿宋_GB2312" w:hAnsi="楷体_GB2312" w:eastAsia="仿宋_GB2312" w:cs="楷体_GB2312"/>
          <w:sz w:val="32"/>
          <w:szCs w:val="32"/>
        </w:rPr>
      </w:pPr>
      <w:r>
        <w:rPr>
          <w:rFonts w:hint="eastAsia" w:ascii="楷体_GB2312" w:hAnsi="楷体_GB2312" w:eastAsia="楷体_GB2312" w:cs="楷体_GB2312"/>
          <w:sz w:val="32"/>
          <w:szCs w:val="32"/>
        </w:rPr>
        <w:t>（九）主动公开工作动态信息。</w:t>
      </w:r>
      <w:r>
        <w:rPr>
          <w:rFonts w:hint="eastAsia" w:ascii="仿宋_GB2312" w:hAnsi="楷体_GB2312" w:eastAsia="仿宋_GB2312" w:cs="楷体_GB2312"/>
          <w:sz w:val="32"/>
          <w:szCs w:val="32"/>
        </w:rPr>
        <w:t>通过省政府信息公开管理系统、委门户网站、政务微博、微信公众号等平台，及时发布工作动态类信息。</w:t>
      </w:r>
    </w:p>
    <w:p>
      <w:pPr>
        <w:rPr>
          <w:rFonts w:ascii="楷体_GB2312" w:hAnsi="楷体_GB2312" w:eastAsia="楷体_GB2312" w:cs="楷体_GB2312"/>
          <w:sz w:val="32"/>
          <w:szCs w:val="32"/>
        </w:rPr>
      </w:pPr>
      <w:r>
        <w:rPr>
          <w:rFonts w:ascii="楷体_GB2312" w:hAnsi="楷体_GB2312" w:eastAsia="楷体_GB2312" w:cs="楷体_GB2312"/>
          <w:sz w:val="32"/>
          <w:szCs w:val="32"/>
        </w:rPr>
        <w:drawing>
          <wp:inline distT="0" distB="0" distL="0" distR="0">
            <wp:extent cx="5274310" cy="2538095"/>
            <wp:effectExtent l="1905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25" cstate="print"/>
                    <a:srcRect/>
                    <a:stretch>
                      <a:fillRect/>
                    </a:stretch>
                  </pic:blipFill>
                  <pic:spPr>
                    <a:xfrm>
                      <a:off x="0" y="0"/>
                      <a:ext cx="5274310" cy="2538508"/>
                    </a:xfrm>
                    <a:prstGeom prst="rect">
                      <a:avLst/>
                    </a:prstGeom>
                    <a:noFill/>
                    <a:ln w="9525">
                      <a:noFill/>
                      <a:miter lim="800000"/>
                      <a:headEnd/>
                      <a:tailEnd/>
                    </a:ln>
                  </pic:spPr>
                </pic:pic>
              </a:graphicData>
            </a:graphic>
          </wp:inline>
        </w:drawing>
      </w:r>
    </w:p>
    <w:p>
      <w:pPr>
        <w:ind w:firstLine="420" w:firstLineChars="200"/>
      </w:pPr>
    </w:p>
    <w:p>
      <w:pPr>
        <w:ind w:firstLine="640" w:firstLineChars="200"/>
        <w:rPr>
          <w:rFonts w:ascii="楷体_GB2312" w:hAnsi="楷体_GB2312" w:eastAsia="楷体_GB2312" w:cs="楷体_GB2312"/>
          <w:sz w:val="32"/>
        </w:rPr>
      </w:pPr>
      <w:r>
        <w:rPr>
          <w:rFonts w:hint="eastAsia" w:ascii="楷体_GB2312" w:hAnsi="楷体_GB2312" w:eastAsia="楷体_GB2312" w:cs="楷体_GB2312"/>
          <w:sz w:val="32"/>
        </w:rPr>
        <w:t>（十）落实新闻发布制度，积极参加访谈活动，回应社会关切，加强与网友的互动交流，</w:t>
      </w:r>
      <w:r>
        <w:rPr>
          <w:rFonts w:hint="eastAsia" w:ascii="楷体_GB2312" w:hAnsi="微软雅黑" w:eastAsia="楷体_GB2312"/>
          <w:color w:val="333333"/>
          <w:sz w:val="32"/>
          <w:szCs w:val="32"/>
          <w:shd w:val="clear" w:color="auto" w:fill="FFFFFF"/>
        </w:rPr>
        <w:t>加强政务舆情处置回应</w:t>
      </w:r>
      <w:r>
        <w:rPr>
          <w:rFonts w:hint="eastAsia" w:ascii="楷体_GB2312" w:hAnsi="楷体_GB2312" w:eastAsia="楷体_GB2312" w:cs="楷体_GB2312"/>
          <w:sz w:val="32"/>
        </w:rPr>
        <w:t>。</w:t>
      </w:r>
    </w:p>
    <w:p>
      <w:pPr>
        <w:ind w:firstLine="643" w:firstLineChars="200"/>
        <w:rPr>
          <w:rFonts w:eastAsia="仿宋_GB2312"/>
          <w:sz w:val="32"/>
        </w:rPr>
      </w:pPr>
      <w:r>
        <w:rPr>
          <w:rFonts w:hint="eastAsia" w:eastAsia="仿宋_GB2312"/>
          <w:b/>
          <w:bCs/>
          <w:sz w:val="32"/>
        </w:rPr>
        <w:t>1、新闻发布。</w:t>
      </w:r>
      <w:r>
        <w:rPr>
          <w:rFonts w:hint="eastAsia" w:ascii="仿宋_GB2312" w:eastAsia="仿宋_GB2312"/>
          <w:bCs/>
          <w:sz w:val="32"/>
        </w:rPr>
        <w:t>2018年9月9日，省民委、省体育局和滨州市人民政府在滨州举行山东省第十届少数民族传统体育运动会新闻发布会。发布会上，原省民委副主任马辉介绍了本届运动会基本情况以及少数民族传统体育运动项目概况，滨州市副市长赵永生介绍了滨州市简要情况、滨州民族团结进步工作及本届运动会筹备有关情况。</w:t>
      </w:r>
    </w:p>
    <w:p>
      <w:pPr>
        <w:rPr>
          <w:rFonts w:eastAsia="仿宋_GB2312"/>
          <w:sz w:val="32"/>
        </w:rPr>
      </w:pPr>
      <w:r>
        <w:rPr>
          <w:rFonts w:eastAsia="仿宋_GB2312"/>
          <w:sz w:val="32"/>
        </w:rPr>
        <w:drawing>
          <wp:inline distT="0" distB="0" distL="0" distR="0">
            <wp:extent cx="5274310" cy="2594610"/>
            <wp:effectExtent l="19050" t="0" r="254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26" cstate="print"/>
                    <a:srcRect/>
                    <a:stretch>
                      <a:fillRect/>
                    </a:stretch>
                  </pic:blipFill>
                  <pic:spPr>
                    <a:xfrm>
                      <a:off x="0" y="0"/>
                      <a:ext cx="5274310" cy="2595060"/>
                    </a:xfrm>
                    <a:prstGeom prst="rect">
                      <a:avLst/>
                    </a:prstGeom>
                    <a:noFill/>
                    <a:ln w="9525">
                      <a:noFill/>
                      <a:miter lim="800000"/>
                      <a:headEnd/>
                      <a:tailEnd/>
                    </a:ln>
                  </pic:spPr>
                </pic:pic>
              </a:graphicData>
            </a:graphic>
          </wp:inline>
        </w:drawing>
      </w:r>
    </w:p>
    <w:p>
      <w:pPr>
        <w:ind w:firstLine="643" w:firstLineChars="200"/>
        <w:rPr>
          <w:rFonts w:ascii="仿宋_GB2312" w:eastAsia="仿宋_GB2312"/>
          <w:sz w:val="32"/>
        </w:rPr>
      </w:pPr>
      <w:r>
        <w:rPr>
          <w:rFonts w:hint="eastAsia" w:eastAsia="仿宋_GB2312"/>
          <w:b/>
          <w:bCs/>
          <w:sz w:val="32"/>
        </w:rPr>
        <w:t>2、参加专访。</w:t>
      </w:r>
      <w:r>
        <w:rPr>
          <w:rFonts w:hint="eastAsia" w:ascii="仿宋_GB2312" w:eastAsia="仿宋_GB2312"/>
          <w:bCs/>
          <w:sz w:val="32"/>
        </w:rPr>
        <w:t>2018年3月13日，全国人大代表、原山东省民委主任马传凯接受了《民族画报》记者专访，介绍了山东省民族工作情况。他</w:t>
      </w:r>
      <w:r>
        <w:rPr>
          <w:rFonts w:hint="eastAsia" w:ascii="仿宋_GB2312" w:eastAsia="仿宋_GB2312"/>
          <w:sz w:val="32"/>
        </w:rPr>
        <w:t>表示，山东各级民族工作部门将坚持以习近平新时代中国特色社会主义思想和党的十九大精神为指导，全面贯彻习近平新时代民族工作思想，紧紧围绕“中华民族一家亲，同心共筑中国梦”的民族工作总目标和山东两个“走在前列”的目标定位，着力推动新时代山东民族工作实现新提升。</w:t>
      </w:r>
    </w:p>
    <w:p>
      <w:pPr>
        <w:rPr>
          <w:rFonts w:eastAsia="仿宋_GB2312"/>
          <w:sz w:val="32"/>
        </w:rPr>
      </w:pPr>
      <w:r>
        <w:rPr>
          <w:rFonts w:eastAsia="仿宋_GB2312"/>
          <w:sz w:val="32"/>
        </w:rPr>
        <w:drawing>
          <wp:inline distT="0" distB="0" distL="0" distR="0">
            <wp:extent cx="5274310" cy="2210435"/>
            <wp:effectExtent l="19050" t="0" r="254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27" cstate="print"/>
                    <a:srcRect/>
                    <a:stretch>
                      <a:fillRect/>
                    </a:stretch>
                  </pic:blipFill>
                  <pic:spPr>
                    <a:xfrm>
                      <a:off x="0" y="0"/>
                      <a:ext cx="5274310" cy="2210520"/>
                    </a:xfrm>
                    <a:prstGeom prst="rect">
                      <a:avLst/>
                    </a:prstGeom>
                    <a:noFill/>
                    <a:ln w="9525">
                      <a:noFill/>
                      <a:miter lim="800000"/>
                      <a:headEnd/>
                      <a:tailEnd/>
                    </a:ln>
                  </pic:spPr>
                </pic:pic>
              </a:graphicData>
            </a:graphic>
          </wp:inline>
        </w:drawing>
      </w:r>
    </w:p>
    <w:p>
      <w:pPr>
        <w:ind w:firstLine="643" w:firstLineChars="200"/>
      </w:pPr>
      <w:r>
        <w:rPr>
          <w:rFonts w:hint="eastAsia" w:ascii="仿宋_GB2312" w:hAnsi="仿宋_GB2312" w:eastAsia="仿宋_GB2312" w:cs="仿宋_GB2312"/>
          <w:b/>
          <w:bCs/>
          <w:sz w:val="32"/>
          <w:szCs w:val="32"/>
        </w:rPr>
        <w:t>3、认真做好网络渠道咨询、投诉受理办理和网络舆情回应处置工作。</w:t>
      </w:r>
      <w:r>
        <w:rPr>
          <w:rFonts w:hint="eastAsia" w:ascii="仿宋_GB2312" w:hAnsi="仿宋_GB2312" w:eastAsia="仿宋_GB2312" w:cs="仿宋_GB2312"/>
          <w:sz w:val="32"/>
          <w:szCs w:val="32"/>
        </w:rPr>
        <w:t>2018年通过省级政务服务办事咨询系统受理群众咨询34件，省级政务服务热线3件，均认真给予答复，做到件件有落实、事事有回音。与省直有关单位建立了涉民族宗教重大网络舆情应急处置工作机制，加强民族宗教领域网络舆情管理，提高网络舆情管控和应对能力，维护民族宗教领域安全稳定。</w:t>
      </w:r>
    </w:p>
    <w:p>
      <w:pPr>
        <w:ind w:firstLine="640" w:firstLineChars="200"/>
        <w:rPr>
          <w:rFonts w:ascii="黑体" w:hAnsi="黑体" w:eastAsia="黑体" w:cs="黑体"/>
          <w:sz w:val="32"/>
          <w:szCs w:val="32"/>
        </w:rPr>
      </w:pPr>
      <w:r>
        <w:rPr>
          <w:rFonts w:hint="eastAsia" w:ascii="黑体" w:hAnsi="黑体" w:eastAsia="黑体" w:cs="黑体"/>
          <w:sz w:val="32"/>
          <w:szCs w:val="32"/>
        </w:rPr>
        <w:t>二、行政机关依申请公开政府信息和不予公开政府信息的情况</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我委高度重视并按照有关规定认真做好依申请政府信息公开工作。2018年，收到网络渠道提出的政府信息公开申请1件，依法予以受理，并根据有关规定和申请人要求向申请人进行了公开。 </w:t>
      </w:r>
    </w:p>
    <w:p>
      <w:pPr>
        <w:ind w:firstLine="640" w:firstLineChars="200"/>
        <w:rPr>
          <w:rFonts w:ascii="黑体" w:hAnsi="黑体" w:eastAsia="黑体" w:cs="黑体"/>
          <w:sz w:val="32"/>
          <w:szCs w:val="32"/>
        </w:rPr>
      </w:pPr>
      <w:r>
        <w:rPr>
          <w:rFonts w:hint="eastAsia" w:ascii="黑体" w:hAnsi="黑体" w:eastAsia="黑体" w:cs="黑体"/>
          <w:sz w:val="32"/>
          <w:szCs w:val="32"/>
        </w:rPr>
        <w:t>三、政府信息公开的收费及减免情况</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2018年，未发生政府信息公开收费及减免情况。</w:t>
      </w:r>
    </w:p>
    <w:p>
      <w:pPr>
        <w:ind w:firstLine="640" w:firstLineChars="200"/>
        <w:rPr>
          <w:rFonts w:ascii="黑体" w:hAnsi="黑体" w:eastAsia="黑体" w:cs="黑体"/>
          <w:sz w:val="32"/>
          <w:szCs w:val="32"/>
        </w:rPr>
      </w:pPr>
      <w:r>
        <w:rPr>
          <w:rFonts w:hint="eastAsia" w:ascii="黑体" w:hAnsi="黑体" w:eastAsia="黑体" w:cs="黑体"/>
          <w:sz w:val="32"/>
          <w:szCs w:val="32"/>
        </w:rPr>
        <w:t>四、因政府信息公开申请行政复议、提起行政诉讼的情况</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2018年，未发生因政府信息公开申请行政复议、提起行政诉讼的情况。</w:t>
      </w:r>
    </w:p>
    <w:p>
      <w:pPr>
        <w:ind w:firstLine="640" w:firstLineChars="200"/>
        <w:rPr>
          <w:rFonts w:ascii="黑体" w:hAnsi="黑体" w:eastAsia="黑体" w:cs="黑体"/>
          <w:sz w:val="32"/>
          <w:szCs w:val="32"/>
        </w:rPr>
      </w:pPr>
      <w:r>
        <w:rPr>
          <w:rFonts w:hint="eastAsia" w:ascii="黑体" w:hAnsi="黑体" w:eastAsia="黑体" w:cs="黑体"/>
          <w:sz w:val="32"/>
          <w:szCs w:val="32"/>
        </w:rPr>
        <w:t>五、政府信息公开工作存在的主要问题及改进情况</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2018年，省民族宗教委在政府信息公开方面做了大量工作，取得了扎实成效，但仍存在信息公开平台建设有待进一步加强，</w:t>
      </w:r>
      <w:r>
        <w:rPr>
          <w:rFonts w:hint="eastAsia" w:ascii="仿宋_GB2312" w:hAnsi="仿宋_GB2312" w:eastAsia="仿宋_GB2312" w:cs="仿宋_GB2312"/>
          <w:sz w:val="32"/>
          <w:szCs w:val="32"/>
          <w:lang w:eastAsia="zh-CN"/>
        </w:rPr>
        <w:t>以及因</w:t>
      </w:r>
      <w:r>
        <w:rPr>
          <w:rFonts w:hint="eastAsia" w:ascii="仿宋_GB2312" w:hAnsi="仿宋_GB2312" w:eastAsia="仿宋_GB2312" w:cs="仿宋_GB2312"/>
          <w:sz w:val="32"/>
          <w:szCs w:val="32"/>
        </w:rPr>
        <w:t>民族宗教工作敏感性强、涉密内容多等特点，主动公开广度深度有待进一步拓展，预公开、决策公开等方面约束性因素较多，邀请公众参与</w:t>
      </w:r>
      <w:r>
        <w:rPr>
          <w:rFonts w:hint="eastAsia" w:ascii="仿宋_GB2312" w:hAnsi="仿宋_GB2312" w:eastAsia="仿宋_GB2312" w:cs="仿宋_GB2312"/>
          <w:sz w:val="32"/>
          <w:szCs w:val="32"/>
          <w:lang w:eastAsia="zh-CN"/>
        </w:rPr>
        <w:t>及</w:t>
      </w:r>
      <w:r>
        <w:rPr>
          <w:rFonts w:hint="eastAsia" w:ascii="仿宋_GB2312" w:hAnsi="仿宋_GB2312" w:eastAsia="仿宋_GB2312" w:cs="仿宋_GB2312"/>
          <w:sz w:val="32"/>
          <w:szCs w:val="32"/>
        </w:rPr>
        <w:t>与公众互动还不够等问题。</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下一步，省民族宗教委将进一步强化公开意识，加强业务培训，创新工作措施，紧紧围绕“决策公开、执行公开、管理公开、服务公开、结果公开”，进一步完善政府信息公开制度，拓展公开广度深度，加强公开业务培训，进一步加强事关群众切身利益的民族宗教日常业务和公众普遍关注的热点难点问题的公开，更好地发挥政府信息对群众生产、生活、科研等指导和服务作用。</w:t>
      </w:r>
    </w:p>
    <w:p>
      <w:pPr>
        <w:ind w:firstLine="640" w:firstLineChars="200"/>
        <w:rPr>
          <w:rFonts w:ascii="黑体" w:hAnsi="黑体" w:eastAsia="黑体" w:cs="黑体"/>
          <w:sz w:val="32"/>
          <w:szCs w:val="32"/>
        </w:rPr>
      </w:pPr>
      <w:r>
        <w:rPr>
          <w:rFonts w:hint="eastAsia" w:ascii="黑体" w:hAnsi="黑体" w:eastAsia="黑体" w:cs="黑体"/>
          <w:sz w:val="32"/>
          <w:szCs w:val="32"/>
        </w:rPr>
        <w:t>六、其他需要报告的事项</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（一）无其他需要报告的事项。  </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（二）省民族宗教委2018年度政府信息公开工作情况统计表。</w:t>
      </w:r>
    </w:p>
    <w:p>
      <w:pPr>
        <w:ind w:firstLine="640" w:firstLineChars="200"/>
        <w:rPr>
          <w:rFonts w:ascii="黑体" w:hAnsi="黑体" w:eastAsia="黑体" w:cs="黑体"/>
          <w:sz w:val="32"/>
          <w:szCs w:val="32"/>
        </w:rPr>
      </w:pPr>
      <w:r>
        <w:rPr>
          <w:rFonts w:hint="eastAsia" w:ascii="黑体" w:hAnsi="黑体" w:eastAsia="黑体" w:cs="黑体"/>
          <w:sz w:val="32"/>
          <w:szCs w:val="32"/>
        </w:rPr>
        <w:t>七、《山东省人民政府办公厅关于进一步做好政务公开工作的通知》要求的工作要点落实情况</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省民族宗教委按照《山东省人民政府办公厅关于进一步做好政务公开工作的通知》要求，认真抓好贯彻落实，主要做了以下工作：</w:t>
      </w:r>
    </w:p>
    <w:p>
      <w:pPr>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一是加强对政务公开工作的组织领导。</w:t>
      </w:r>
      <w:r>
        <w:rPr>
          <w:rFonts w:hint="eastAsia" w:ascii="仿宋_GB2312" w:hAnsi="楷体_GB2312" w:eastAsia="仿宋_GB2312" w:cs="楷体_GB2312"/>
          <w:sz w:val="32"/>
          <w:szCs w:val="32"/>
        </w:rPr>
        <w:t>委主要负责人亲自过问、定期听取汇报，多次对政务公开工作作出批示，为政务公开工作创造了良好环境。以机构改革为契机，进一步明确了分管领导、负责机构和责任人。</w:t>
      </w:r>
      <w:r>
        <w:rPr>
          <w:rFonts w:hint="eastAsia" w:ascii="仿宋_GB2312" w:hAnsi="仿宋_GB2312" w:eastAsia="仿宋_GB2312" w:cs="仿宋_GB2312"/>
          <w:sz w:val="32"/>
          <w:szCs w:val="32"/>
        </w:rPr>
        <w:t>制定了2018年政务公开工作要点和培训计划。</w:t>
      </w:r>
    </w:p>
    <w:p>
      <w:pPr>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5400040" cy="7199630"/>
            <wp:effectExtent l="0" t="0" r="10160" b="1270"/>
            <wp:docPr id="92" name="图片 92" descr="C:\Documents and Settings\Administrator\桌面\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C:\Documents and Settings\Administrator\桌面\2.jpg"/>
                    <pic:cNvPicPr>
                      <a:picLocks noChangeAspect="1" noChangeArrowheads="1"/>
                    </pic:cNvPicPr>
                  </pic:nvPicPr>
                  <pic:blipFill>
                    <a:blip r:embed="rId28" cstate="print"/>
                    <a:srcRect/>
                    <a:stretch>
                      <a:fillRect/>
                    </a:stretch>
                  </pic:blipFill>
                  <pic:spPr>
                    <a:xfrm>
                      <a:off x="0" y="0"/>
                      <a:ext cx="5400040" cy="7199630"/>
                    </a:xfrm>
                    <a:prstGeom prst="rect">
                      <a:avLst/>
                    </a:prstGeom>
                    <a:noFill/>
                    <a:ln w="9525">
                      <a:noFill/>
                      <a:miter lim="800000"/>
                      <a:headEnd/>
                      <a:tailEnd/>
                    </a:ln>
                  </pic:spPr>
                </pic:pic>
              </a:graphicData>
            </a:graphic>
          </wp:inline>
        </w:drawing>
      </w: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5281295" cy="7040880"/>
            <wp:effectExtent l="0" t="0" r="14605" b="7620"/>
            <wp:docPr id="93" name="图片 93" descr="C:\Documents and Settings\Administrator\桌面\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C:\Documents and Settings\Administrator\桌面\3.jpg"/>
                    <pic:cNvPicPr>
                      <a:picLocks noChangeAspect="1" noChangeArrowheads="1"/>
                    </pic:cNvPicPr>
                  </pic:nvPicPr>
                  <pic:blipFill>
                    <a:blip r:embed="rId29" cstate="print"/>
                    <a:srcRect/>
                    <a:stretch>
                      <a:fillRect/>
                    </a:stretch>
                  </pic:blipFill>
                  <pic:spPr>
                    <a:xfrm>
                      <a:off x="0" y="0"/>
                      <a:ext cx="5281295" cy="7040880"/>
                    </a:xfrm>
                    <a:prstGeom prst="rect">
                      <a:avLst/>
                    </a:prstGeom>
                    <a:noFill/>
                    <a:ln w="9525">
                      <a:noFill/>
                      <a:miter lim="800000"/>
                      <a:headEnd/>
                      <a:tailEnd/>
                    </a:ln>
                  </pic:spPr>
                </pic:pic>
              </a:graphicData>
            </a:graphic>
          </wp:inline>
        </w:drawing>
      </w:r>
    </w:p>
    <w:p>
      <w:pPr>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4248150" cy="5663565"/>
            <wp:effectExtent l="19050" t="0" r="0" b="0"/>
            <wp:docPr id="94" name="图片 94" descr="C:\Documents and Settings\Administrator\桌面\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C:\Documents and Settings\Administrator\桌面\1.jpg"/>
                    <pic:cNvPicPr>
                      <a:picLocks noChangeAspect="1" noChangeArrowheads="1"/>
                    </pic:cNvPicPr>
                  </pic:nvPicPr>
                  <pic:blipFill>
                    <a:blip r:embed="rId30" cstate="print"/>
                    <a:srcRect/>
                    <a:stretch>
                      <a:fillRect/>
                    </a:stretch>
                  </pic:blipFill>
                  <pic:spPr>
                    <a:xfrm>
                      <a:off x="0" y="0"/>
                      <a:ext cx="4255559" cy="5674076"/>
                    </a:xfrm>
                    <a:prstGeom prst="rect">
                      <a:avLst/>
                    </a:prstGeom>
                    <a:noFill/>
                    <a:ln w="9525">
                      <a:noFill/>
                      <a:miter lim="800000"/>
                      <a:headEnd/>
                      <a:tailEnd/>
                    </a:ln>
                  </pic:spPr>
                </pic:pic>
              </a:graphicData>
            </a:graphic>
          </wp:inline>
        </w:drawing>
      </w:r>
    </w:p>
    <w:p>
      <w:pP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5274310" cy="1765935"/>
            <wp:effectExtent l="19050" t="0" r="254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31" cstate="print"/>
                    <a:srcRect/>
                    <a:stretch>
                      <a:fillRect/>
                    </a:stretch>
                  </pic:blipFill>
                  <pic:spPr>
                    <a:xfrm>
                      <a:off x="0" y="0"/>
                      <a:ext cx="5274310" cy="1766102"/>
                    </a:xfrm>
                    <a:prstGeom prst="rect">
                      <a:avLst/>
                    </a:prstGeom>
                    <a:noFill/>
                    <a:ln w="9525">
                      <a:noFill/>
                      <a:miter lim="800000"/>
                      <a:headEnd/>
                      <a:tailEnd/>
                    </a:ln>
                  </pic:spPr>
                </pic:pic>
              </a:graphicData>
            </a:graphic>
          </wp:inline>
        </w:drawing>
      </w:r>
    </w:p>
    <w:p>
      <w:pPr>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二是抓好政务公开工作制度落实。认真</w:t>
      </w:r>
      <w:r>
        <w:rPr>
          <w:rFonts w:hint="eastAsia" w:ascii="仿宋_GB2312" w:hAnsi="仿宋_GB2312" w:eastAsia="仿宋_GB2312" w:cs="仿宋_GB2312"/>
          <w:sz w:val="32"/>
          <w:szCs w:val="32"/>
        </w:rPr>
        <w:t>贯彻《省民委（省宗教局）工作规则》第四章“实行科学民主决策”和第五章“推进政务公开”内容要求，坚持“公开为常态，不公开为例外”原则，严格落实保密审查、公文公开属性源头认定办法、重大决策预公开制度、依申请公开的受理办理答复工作机制等系列工作制度，规范推进政务公开工作。</w:t>
      </w:r>
    </w:p>
    <w:p>
      <w:pPr>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4133215" cy="5457190"/>
            <wp:effectExtent l="0" t="0" r="635" b="10160"/>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pic:cNvPicPr>
                      <a:picLocks noChangeAspect="1"/>
                    </pic:cNvPicPr>
                  </pic:nvPicPr>
                  <pic:blipFill>
                    <a:blip r:embed="rId32" cstate="print"/>
                    <a:stretch>
                      <a:fillRect/>
                    </a:stretch>
                  </pic:blipFill>
                  <pic:spPr>
                    <a:xfrm>
                      <a:off x="0" y="0"/>
                      <a:ext cx="4133215" cy="5457190"/>
                    </a:xfrm>
                    <a:prstGeom prst="rect">
                      <a:avLst/>
                    </a:prstGeom>
                    <a:noFill/>
                    <a:ln w="9525">
                      <a:noFill/>
                    </a:ln>
                  </pic:spPr>
                </pic:pic>
              </a:graphicData>
            </a:graphic>
          </wp:inline>
        </w:drawing>
      </w:r>
    </w:p>
    <w:p>
      <w:pPr>
        <w:jc w:val="center"/>
      </w:pPr>
      <w:r>
        <w:drawing>
          <wp:inline distT="0" distB="0" distL="114300" distR="114300">
            <wp:extent cx="4104640" cy="4695190"/>
            <wp:effectExtent l="0" t="0" r="10160" b="1016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33" cstate="print"/>
                    <a:stretch>
                      <a:fillRect/>
                    </a:stretch>
                  </pic:blipFill>
                  <pic:spPr>
                    <a:xfrm>
                      <a:off x="0" y="0"/>
                      <a:ext cx="4104640" cy="4695190"/>
                    </a:xfrm>
                    <a:prstGeom prst="rect">
                      <a:avLst/>
                    </a:prstGeom>
                    <a:noFill/>
                    <a:ln w="9525">
                      <a:noFill/>
                    </a:ln>
                  </pic:spPr>
                </pic:pic>
              </a:graphicData>
            </a:graphic>
          </wp:inline>
        </w:drawing>
      </w:r>
    </w:p>
    <w:p>
      <w:pPr>
        <w:ind w:firstLine="420" w:firstLineChars="200"/>
      </w:pPr>
    </w:p>
    <w:p>
      <w:pPr>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三是切实发挥网站政务公开第一平台作用。</w:t>
      </w:r>
      <w:r>
        <w:rPr>
          <w:rFonts w:hint="eastAsia" w:ascii="仿宋_GB2312" w:hAnsi="楷体_GB2312" w:eastAsia="仿宋_GB2312" w:cs="楷体_GB2312"/>
          <w:sz w:val="32"/>
          <w:szCs w:val="32"/>
        </w:rPr>
        <w:t>切实</w:t>
      </w:r>
      <w:r>
        <w:rPr>
          <w:rFonts w:hint="eastAsia" w:ascii="仿宋_GB2312" w:hAnsi="仿宋_GB2312" w:eastAsia="仿宋_GB2312" w:cs="仿宋_GB2312"/>
          <w:sz w:val="32"/>
          <w:szCs w:val="32"/>
        </w:rPr>
        <w:t>把网站作为政务公开第一平台，</w:t>
      </w:r>
      <w:r>
        <w:rPr>
          <w:rFonts w:hint="eastAsia" w:ascii="仿宋_GB2312" w:hAnsi="楷体_GB2312" w:eastAsia="仿宋_GB2312" w:cs="楷体_GB2312"/>
          <w:sz w:val="32"/>
          <w:szCs w:val="32"/>
        </w:rPr>
        <w:t>按照政务工作要求，不断加强委门户网站建设，增设了“双公示”专栏，增加了“网站地图”功能，调整规范充实了行政许可事项、公共服务事项服务指南等内容</w:t>
      </w:r>
      <w:r>
        <w:rPr>
          <w:rFonts w:hint="eastAsia" w:ascii="仿宋_GB2312" w:hAnsi="仿宋_GB2312" w:eastAsia="仿宋_GB2312" w:cs="仿宋_GB2312"/>
          <w:sz w:val="32"/>
          <w:szCs w:val="32"/>
        </w:rPr>
        <w:t>，网站政务公开平台作用有效发挥，服务功能进一步提升。推进政府信息系统整合工作，完成了网站向省统一技术平台的迁移。</w:t>
      </w:r>
    </w:p>
    <w:p>
      <w:pPr>
        <w:ind w:firstLine="640" w:firstLineChars="200"/>
        <w:rPr>
          <w:rFonts w:ascii="仿宋_GB2312" w:hAnsi="仿宋_GB2312" w:eastAsia="仿宋_GB2312" w:cs="仿宋_GB2312"/>
          <w:sz w:val="32"/>
          <w:szCs w:val="32"/>
        </w:rPr>
      </w:pPr>
    </w:p>
    <w:p>
      <w:pPr>
        <w:ind w:firstLine="640" w:firstLineChars="200"/>
        <w:rPr>
          <w:rFonts w:ascii="仿宋_GB2312" w:hAnsi="仿宋_GB2312" w:eastAsia="仿宋_GB2312" w:cs="仿宋_GB2312"/>
          <w:sz w:val="32"/>
          <w:szCs w:val="32"/>
        </w:rPr>
      </w:pPr>
    </w:p>
    <w:p>
      <w:pPr>
        <w:ind w:firstLine="640" w:firstLineChars="200"/>
        <w:rPr>
          <w:rFonts w:ascii="仿宋_GB2312" w:hAnsi="仿宋_GB2312" w:eastAsia="仿宋_GB2312" w:cs="仿宋_GB2312"/>
          <w:sz w:val="32"/>
          <w:szCs w:val="32"/>
        </w:rPr>
      </w:pPr>
    </w:p>
    <w:p>
      <w:pPr>
        <w:jc w:val="center"/>
        <w:rPr>
          <w:rFonts w:hint="eastAsia" w:ascii="方正小标宋简体" w:hAnsi="方正小标宋简体" w:eastAsia="方正小标宋简体" w:cs="方正小标宋简体"/>
          <w:bCs/>
          <w:sz w:val="36"/>
          <w:szCs w:val="36"/>
        </w:rPr>
      </w:pPr>
    </w:p>
    <w:p>
      <w:pPr>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省民族宗教委2018年度政府信息公开工作情况</w:t>
      </w:r>
    </w:p>
    <w:p>
      <w:pPr>
        <w:jc w:val="center"/>
        <w:rPr>
          <w:rFonts w:ascii="宋体" w:hAnsi="宋体"/>
          <w:b/>
          <w:sz w:val="32"/>
        </w:rPr>
      </w:pPr>
      <w:r>
        <w:rPr>
          <w:rFonts w:hint="eastAsia" w:ascii="方正小标宋简体" w:hAnsi="方正小标宋简体" w:eastAsia="方正小标宋简体" w:cs="方正小标宋简体"/>
          <w:bCs/>
          <w:sz w:val="36"/>
          <w:szCs w:val="36"/>
        </w:rPr>
        <w:t>统计表</w:t>
      </w:r>
    </w:p>
    <w:p>
      <w:pPr>
        <w:jc w:val="center"/>
      </w:pPr>
      <w:r>
        <w:rPr>
          <w:rFonts w:hint="eastAsia"/>
          <w:b/>
          <w:sz w:val="28"/>
          <w:szCs w:val="28"/>
        </w:rPr>
        <w:t>（省政府各部门、各直属机构）</w:t>
      </w:r>
    </w:p>
    <w:tbl>
      <w:tblPr>
        <w:tblStyle w:val="6"/>
        <w:tblW w:w="9450" w:type="dxa"/>
        <w:jc w:val="center"/>
        <w:tblInd w:w="-8" w:type="dxa"/>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7575"/>
        <w:gridCol w:w="1020"/>
        <w:gridCol w:w="855"/>
      </w:tblGrid>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20" w:lineRule="atLeast"/>
              <w:ind w:firstLine="685"/>
              <w:jc w:val="center"/>
              <w:rPr>
                <w:color w:val="000000"/>
              </w:rPr>
            </w:pPr>
            <w:r>
              <w:rPr>
                <w:rStyle w:val="8"/>
                <w:rFonts w:hint="eastAsia"/>
                <w:color w:val="000000"/>
                <w:sz w:val="20"/>
                <w:szCs w:val="20"/>
              </w:rPr>
              <w:t>统　计　指　标</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Style w:val="8"/>
                <w:rFonts w:hint="eastAsia" w:ascii="宋体" w:hAnsi="宋体"/>
                <w:color w:val="000000"/>
                <w:sz w:val="20"/>
                <w:szCs w:val="20"/>
              </w:rPr>
              <w:t>单位</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Style w:val="8"/>
                <w:rFonts w:hint="eastAsia" w:ascii="宋体" w:hAnsi="宋体"/>
                <w:color w:val="000000"/>
                <w:sz w:val="20"/>
                <w:szCs w:val="20"/>
              </w:rPr>
              <w:t>统计数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黑体" w:hAnsi="宋体" w:eastAsia="黑体" w:cs="宋体"/>
                <w:color w:val="000000"/>
                <w:sz w:val="24"/>
              </w:rPr>
            </w:pPr>
            <w:r>
              <w:rPr>
                <w:rFonts w:hint="eastAsia" w:ascii="黑体" w:hAnsi="宋体" w:eastAsia="黑体"/>
                <w:color w:val="000000"/>
                <w:sz w:val="20"/>
                <w:szCs w:val="20"/>
              </w:rPr>
              <w:t>一、主动公开情况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ascii="宋体" w:hAnsi="宋体" w:cs="宋体"/>
                <w:color w:val="000000"/>
                <w:sz w:val="24"/>
              </w:rPr>
            </w:pP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（一）主动公开政府信息数</w:t>
            </w:r>
            <w:r>
              <w:rPr>
                <w:rFonts w:ascii="宋体" w:hAnsi="宋体"/>
                <w:color w:val="000000"/>
                <w:sz w:val="20"/>
                <w:szCs w:val="20"/>
              </w:rPr>
              <w:br w:type="textWrapping"/>
            </w:r>
            <w:r>
              <w:rPr>
                <w:rFonts w:ascii="宋体" w:hAnsi="宋体"/>
                <w:color w:val="000000"/>
                <w:sz w:val="20"/>
                <w:szCs w:val="20"/>
              </w:rPr>
              <w:t>　　　　（不同渠道和方式公开相同信息计1条）</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s="宋体"/>
                <w:color w:val="000000"/>
                <w:sz w:val="24"/>
              </w:rPr>
              <w:t>759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其中：主动公开规范性文件数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s="宋体"/>
                <w:color w:val="000000"/>
                <w:sz w:val="24"/>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制发规范性文件总数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（二）通过不同渠道和方式公开政府信息的情况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ascii="宋体" w:hAnsi="宋体" w:cs="宋体"/>
                <w:color w:val="000000"/>
                <w:sz w:val="24"/>
              </w:rPr>
            </w:pP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s="宋体"/>
                <w:color w:val="000000"/>
                <w:sz w:val="24"/>
              </w:rPr>
              <w:t>759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1.政府公报公开政府信息数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s="宋体"/>
                <w:color w:val="000000"/>
                <w:sz w:val="24"/>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2.政府网站公开政府信息数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s="宋体"/>
                <w:color w:val="000000"/>
                <w:sz w:val="24"/>
              </w:rPr>
              <w:t>628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3.政务微博公开政府信息数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s="宋体"/>
                <w:color w:val="000000"/>
                <w:sz w:val="24"/>
              </w:rPr>
              <w:t>19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4.政务微信公开政府信息数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s="宋体"/>
                <w:color w:val="000000"/>
                <w:sz w:val="24"/>
              </w:rPr>
              <w:t>92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5.其他方式公开政府信息数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s="宋体"/>
                <w:color w:val="000000"/>
                <w:sz w:val="24"/>
              </w:rPr>
              <w:t>19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黑体" w:hAnsi="宋体" w:eastAsia="黑体" w:cs="宋体"/>
                <w:color w:val="000000"/>
                <w:sz w:val="24"/>
              </w:rPr>
            </w:pPr>
            <w:r>
              <w:rPr>
                <w:rFonts w:hint="eastAsia" w:ascii="黑体" w:hAnsi="宋体" w:eastAsia="黑体"/>
                <w:color w:val="000000"/>
                <w:sz w:val="20"/>
                <w:szCs w:val="20"/>
              </w:rPr>
              <w:t>二、回应解读情况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pStyle w:val="5"/>
              <w:spacing w:line="420" w:lineRule="atLeast"/>
              <w:ind w:firstLine="685"/>
              <w:jc w:val="center"/>
              <w:rPr>
                <w:color w:val="000000"/>
              </w:rPr>
            </w:pPr>
          </w:p>
        </w:tc>
        <w:tc>
          <w:tcPr>
            <w:tcW w:w="855" w:type="dxa"/>
            <w:tcBorders>
              <w:top w:val="single" w:color="auto" w:sz="0" w:space="0"/>
              <w:left w:val="single" w:color="auto" w:sz="0" w:space="0"/>
              <w:bottom w:val="single" w:color="auto" w:sz="0" w:space="0"/>
            </w:tcBorders>
            <w:shd w:val="clear" w:color="auto" w:fill="FFFFFF"/>
            <w:vAlign w:val="center"/>
          </w:tcPr>
          <w:p>
            <w:pPr>
              <w:jc w:val="center"/>
              <w:rPr>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20" w:lineRule="atLeast"/>
              <w:ind w:firstLine="400" w:firstLineChars="200"/>
              <w:rPr>
                <w:color w:val="000000"/>
              </w:rPr>
            </w:pPr>
            <w:r>
              <w:rPr>
                <w:rFonts w:cs="Times New Roman"/>
                <w:color w:val="000000"/>
                <w:kern w:val="2"/>
                <w:sz w:val="20"/>
                <w:szCs w:val="20"/>
              </w:rPr>
              <w:t>（一）回应公众关注热点或重大舆情数</w:t>
            </w:r>
            <w:r>
              <w:rPr>
                <w:rFonts w:cs="Times New Roman"/>
                <w:color w:val="000000"/>
                <w:kern w:val="2"/>
                <w:sz w:val="20"/>
                <w:szCs w:val="20"/>
              </w:rPr>
              <w:br w:type="textWrapping"/>
            </w:r>
            <w:r>
              <w:rPr>
                <w:rFonts w:cs="Times New Roman"/>
                <w:color w:val="000000"/>
                <w:kern w:val="2"/>
                <w:sz w:val="20"/>
                <w:szCs w:val="20"/>
              </w:rPr>
              <w:t>　　　　 （不同方式回应同一热点或舆情计1次）</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（二）通过不同渠道和方式回应解读的情况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ascii="宋体" w:hAnsi="宋体" w:cs="宋体"/>
                <w:color w:val="000000"/>
                <w:sz w:val="24"/>
              </w:rPr>
            </w:pP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s="宋体"/>
                <w:color w:val="000000"/>
                <w:sz w:val="24"/>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1.参加或举办新闻发布会总次数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s="宋体"/>
                <w:color w:val="000000"/>
                <w:sz w:val="24"/>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其中：主要负责同志参加新闻发布会次数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2.政府网站在线访谈次数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其中：主要负责同志参加政府网站在线访谈次数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3.政策解读稿件发布数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篇</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s="宋体"/>
                <w:color w:val="000000"/>
                <w:sz w:val="24"/>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4.微博微信回应事件数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5.其他方式回应事件数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黑体" w:hAnsi="宋体" w:eastAsia="黑体" w:cs="宋体"/>
                <w:color w:val="000000"/>
                <w:sz w:val="24"/>
              </w:rPr>
            </w:pPr>
            <w:r>
              <w:rPr>
                <w:rFonts w:hint="eastAsia" w:ascii="黑体" w:hAnsi="宋体" w:eastAsia="黑体"/>
                <w:color w:val="000000"/>
                <w:sz w:val="20"/>
                <w:szCs w:val="20"/>
              </w:rPr>
              <w:t>三、依申请公开情况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pStyle w:val="5"/>
              <w:spacing w:line="420" w:lineRule="atLeast"/>
              <w:ind w:firstLine="685"/>
              <w:jc w:val="center"/>
              <w:rPr>
                <w:color w:val="000000"/>
              </w:rPr>
            </w:pPr>
          </w:p>
        </w:tc>
        <w:tc>
          <w:tcPr>
            <w:tcW w:w="855" w:type="dxa"/>
            <w:tcBorders>
              <w:top w:val="single" w:color="auto" w:sz="0" w:space="0"/>
              <w:left w:val="single" w:color="auto" w:sz="0" w:space="0"/>
              <w:bottom w:val="single" w:color="auto" w:sz="0" w:space="0"/>
            </w:tcBorders>
            <w:shd w:val="clear" w:color="auto" w:fill="FFFFFF"/>
            <w:vAlign w:val="center"/>
          </w:tcPr>
          <w:p>
            <w:pPr>
              <w:jc w:val="center"/>
              <w:rPr>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（一）收到申请数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s="宋体"/>
                <w:color w:val="000000"/>
                <w:sz w:val="24"/>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1.当面申请数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2.传真申请数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3.网络申请数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s="宋体"/>
                <w:color w:val="000000"/>
                <w:sz w:val="24"/>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single" w:color="auto" w:sz="4"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4.信函申请数</w:t>
            </w:r>
          </w:p>
        </w:tc>
        <w:tc>
          <w:tcPr>
            <w:tcW w:w="1020"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single" w:color="auto" w:sz="4" w:space="0"/>
              <w:bottom w:val="outset" w:color="000000" w:sz="6" w:space="0"/>
              <w:right w:val="outset" w:color="000000" w:sz="6" w:space="0"/>
            </w:tcBorders>
            <w:shd w:val="clear" w:color="auto" w:fill="FFFFFF"/>
            <w:vAlign w:val="center"/>
          </w:tcPr>
          <w:p>
            <w:pPr>
              <w:spacing w:line="420" w:lineRule="atLeast"/>
              <w:rPr>
                <w:rFonts w:ascii="宋体" w:hAnsi="宋体"/>
                <w:color w:val="000000"/>
                <w:sz w:val="20"/>
                <w:szCs w:val="20"/>
              </w:rPr>
            </w:pPr>
            <w:r>
              <w:rPr>
                <w:rFonts w:hint="eastAsia" w:ascii="宋体" w:hAnsi="宋体"/>
                <w:color w:val="000000"/>
                <w:sz w:val="20"/>
                <w:szCs w:val="20"/>
              </w:rPr>
              <w:t xml:space="preserve">          5.其他形式</w:t>
            </w:r>
          </w:p>
        </w:tc>
        <w:tc>
          <w:tcPr>
            <w:tcW w:w="1020" w:type="dxa"/>
            <w:tcBorders>
              <w:top w:val="single" w:color="auto" w:sz="4"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件</w:t>
            </w:r>
          </w:p>
        </w:tc>
        <w:tc>
          <w:tcPr>
            <w:tcW w:w="855" w:type="dxa"/>
            <w:tcBorders>
              <w:top w:val="single" w:color="auto" w:sz="4"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（二）申请办结数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s="宋体"/>
                <w:color w:val="000000"/>
                <w:sz w:val="24"/>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1.按时办结数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s="宋体"/>
                <w:color w:val="000000"/>
                <w:sz w:val="24"/>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2.延期办结数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（三）申请答复数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s="宋体"/>
                <w:color w:val="000000"/>
                <w:sz w:val="24"/>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1.属于已主动公开范围数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2.同意公开答复数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s="宋体"/>
                <w:color w:val="000000"/>
                <w:sz w:val="24"/>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3.同意部分公开答复数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4.不同意公开答复数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其中：涉及国家秘密</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涉及商业秘密</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涉及个人隐私</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危及国家安全、公共安全、经济安全和社会稳定</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不是《条例》所指政府信息</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法律法规规定的其他情形</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5.不属于本行政机关公开数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6.申请信息不存在数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7.告知作出更改补充数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8.告知通过其他途径办理数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黑体" w:hAnsi="宋体" w:eastAsia="黑体" w:cs="宋体"/>
                <w:color w:val="000000"/>
                <w:sz w:val="24"/>
              </w:rPr>
            </w:pPr>
            <w:r>
              <w:rPr>
                <w:rFonts w:hint="eastAsia" w:ascii="黑体" w:hAnsi="宋体" w:eastAsia="黑体"/>
                <w:color w:val="000000"/>
                <w:sz w:val="20"/>
                <w:szCs w:val="20"/>
              </w:rPr>
              <w:t>四、行政复议数量</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（一）维持具体行政行为数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（二）被依法纠错数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（三）其他情形数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黑体" w:hAnsi="宋体" w:eastAsia="黑体" w:cs="宋体"/>
                <w:color w:val="000000"/>
                <w:sz w:val="24"/>
              </w:rPr>
            </w:pPr>
            <w:r>
              <w:rPr>
                <w:rFonts w:hint="eastAsia" w:ascii="黑体" w:hAnsi="宋体" w:eastAsia="黑体"/>
                <w:color w:val="000000"/>
                <w:sz w:val="20"/>
                <w:szCs w:val="20"/>
              </w:rPr>
              <w:t>五、行政诉讼数量</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（一）维持具体行政行为或者驳回原告诉讼请求数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（二）被依法纠错数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（三）其他情形数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rPr>
                <w:rFonts w:ascii="黑体" w:hAnsi="宋体" w:eastAsia="黑体" w:cs="宋体"/>
                <w:color w:val="000000"/>
                <w:sz w:val="24"/>
              </w:rPr>
            </w:pPr>
            <w:r>
              <w:rPr>
                <w:rFonts w:hint="eastAsia" w:ascii="黑体" w:hAnsi="宋体" w:eastAsia="黑体"/>
                <w:color w:val="000000"/>
                <w:sz w:val="20"/>
                <w:szCs w:val="20"/>
              </w:rPr>
              <w:t>六、被举报投诉数量</w:t>
            </w:r>
          </w:p>
        </w:tc>
        <w:tc>
          <w:tcPr>
            <w:tcW w:w="1020"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（一）维持具体行政行为数</w:t>
            </w:r>
          </w:p>
        </w:tc>
        <w:tc>
          <w:tcPr>
            <w:tcW w:w="1020"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件</w:t>
            </w:r>
          </w:p>
        </w:tc>
        <w:tc>
          <w:tcPr>
            <w:tcW w:w="85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（二）被纠错数</w:t>
            </w:r>
          </w:p>
        </w:tc>
        <w:tc>
          <w:tcPr>
            <w:tcW w:w="1020"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件</w:t>
            </w:r>
          </w:p>
        </w:tc>
        <w:tc>
          <w:tcPr>
            <w:tcW w:w="85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（三）其他情形数</w:t>
            </w:r>
          </w:p>
        </w:tc>
        <w:tc>
          <w:tcPr>
            <w:tcW w:w="1020"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件</w:t>
            </w:r>
          </w:p>
        </w:tc>
        <w:tc>
          <w:tcPr>
            <w:tcW w:w="85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b/>
                <w:bCs/>
                <w:color w:val="000000"/>
                <w:sz w:val="20"/>
                <w:szCs w:val="20"/>
              </w:rPr>
            </w:pPr>
            <w:r>
              <w:rPr>
                <w:rFonts w:hint="eastAsia" w:ascii="宋体" w:hAnsi="宋体"/>
                <w:b/>
                <w:bCs/>
                <w:color w:val="000000"/>
                <w:sz w:val="20"/>
                <w:szCs w:val="20"/>
              </w:rPr>
              <w:t>七、向图书馆、档案馆等查阅场所报送信息数</w:t>
            </w:r>
          </w:p>
          <w:p>
            <w:pPr>
              <w:spacing w:line="420" w:lineRule="atLeast"/>
              <w:rPr>
                <w:rFonts w:ascii="宋体" w:hAnsi="宋体"/>
                <w:color w:val="000000"/>
                <w:sz w:val="20"/>
                <w:szCs w:val="20"/>
              </w:rPr>
            </w:pPr>
          </w:p>
        </w:tc>
        <w:tc>
          <w:tcPr>
            <w:tcW w:w="1020"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条</w:t>
            </w:r>
          </w:p>
        </w:tc>
        <w:tc>
          <w:tcPr>
            <w:tcW w:w="85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w:t>
            </w:r>
            <w:r>
              <w:rPr>
                <w:rFonts w:hint="eastAsia" w:ascii="宋体" w:hAnsi="宋体"/>
                <w:color w:val="000000"/>
                <w:sz w:val="20"/>
                <w:szCs w:val="20"/>
              </w:rPr>
              <w:t>纸质文件数</w:t>
            </w:r>
          </w:p>
        </w:tc>
        <w:tc>
          <w:tcPr>
            <w:tcW w:w="1020"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条</w:t>
            </w:r>
          </w:p>
        </w:tc>
        <w:tc>
          <w:tcPr>
            <w:tcW w:w="85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w:t>
            </w:r>
            <w:r>
              <w:rPr>
                <w:rFonts w:hint="eastAsia" w:ascii="宋体" w:hAnsi="宋体"/>
                <w:color w:val="000000"/>
                <w:sz w:val="20"/>
                <w:szCs w:val="20"/>
              </w:rPr>
              <w:t>电子文件数</w:t>
            </w:r>
          </w:p>
        </w:tc>
        <w:tc>
          <w:tcPr>
            <w:tcW w:w="1020" w:type="dxa"/>
            <w:tcBorders>
              <w:top w:val="single" w:color="auto" w:sz="4"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条</w:t>
            </w:r>
          </w:p>
        </w:tc>
        <w:tc>
          <w:tcPr>
            <w:tcW w:w="855" w:type="dxa"/>
            <w:tcBorders>
              <w:top w:val="single" w:color="auto" w:sz="4"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黑体" w:hAnsi="宋体" w:eastAsia="黑体" w:cs="宋体"/>
                <w:color w:val="000000"/>
                <w:sz w:val="24"/>
              </w:rPr>
            </w:pPr>
            <w:r>
              <w:rPr>
                <w:rFonts w:hint="eastAsia" w:ascii="黑体" w:hAnsi="宋体" w:eastAsia="黑体"/>
                <w:color w:val="000000"/>
                <w:sz w:val="20"/>
                <w:szCs w:val="20"/>
              </w:rPr>
              <w:t>八、机构建设和保障经费情况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ascii="宋体" w:hAnsi="宋体" w:cs="宋体"/>
                <w:color w:val="000000"/>
                <w:sz w:val="24"/>
              </w:rPr>
            </w:pP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（一）政府信息公开工作专门机构数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个</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s="宋体"/>
                <w:color w:val="000000"/>
                <w:sz w:val="24"/>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（二）设置政府信息公开查阅点数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个</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s="宋体"/>
                <w:color w:val="000000"/>
                <w:sz w:val="24"/>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（三）从事政府信息公开工作人员数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人</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s="宋体"/>
                <w:color w:val="000000"/>
                <w:sz w:val="24"/>
              </w:rPr>
              <w:t>11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1.专职人员数（不包括政府公报及政府网站工作人员数）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人</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s="宋体"/>
                <w:color w:val="000000"/>
                <w:sz w:val="24"/>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2.兼职人员数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人</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s="宋体"/>
                <w:color w:val="000000"/>
                <w:sz w:val="24"/>
              </w:rPr>
              <w:t>10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（四）政府信息公开专项经费（不包括用于政府公报编辑管理及政府网站建设维</w:t>
            </w:r>
            <w:r>
              <w:rPr>
                <w:rFonts w:ascii="宋体" w:hAnsi="宋体"/>
                <w:color w:val="000000"/>
                <w:sz w:val="20"/>
                <w:szCs w:val="20"/>
              </w:rPr>
              <w:br w:type="textWrapping"/>
            </w:r>
            <w:r>
              <w:rPr>
                <w:rFonts w:ascii="宋体" w:hAnsi="宋体"/>
                <w:color w:val="000000"/>
                <w:sz w:val="20"/>
                <w:szCs w:val="20"/>
              </w:rPr>
              <w:t>　　　　　护等方面的经费）</w:t>
            </w:r>
          </w:p>
        </w:tc>
        <w:tc>
          <w:tcPr>
            <w:tcW w:w="1020"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万元</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s="宋体"/>
                <w:color w:val="000000"/>
                <w:sz w:val="24"/>
              </w:rPr>
              <w:t>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黑体" w:hAnsi="宋体" w:eastAsia="黑体" w:cs="宋体"/>
                <w:color w:val="000000"/>
                <w:sz w:val="24"/>
              </w:rPr>
            </w:pPr>
            <w:r>
              <w:rPr>
                <w:rFonts w:hint="eastAsia" w:ascii="黑体" w:hAnsi="宋体" w:eastAsia="黑体"/>
                <w:color w:val="000000"/>
                <w:sz w:val="20"/>
                <w:szCs w:val="20"/>
              </w:rPr>
              <w:t>九、政府信息公开会议和培训情况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ascii="宋体" w:hAnsi="宋体" w:cs="宋体"/>
                <w:color w:val="000000"/>
                <w:sz w:val="24"/>
              </w:rPr>
            </w:pP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（一）召开政府信息公开工作会议或专题会议数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s="宋体"/>
                <w:color w:val="000000"/>
                <w:sz w:val="24"/>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（二）举办各类培训班数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（三）接受培训人员数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人次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s="宋体"/>
                <w:color w:val="000000"/>
                <w:sz w:val="24"/>
              </w:rPr>
              <w:t>2</w:t>
            </w:r>
          </w:p>
        </w:tc>
      </w:tr>
    </w:tbl>
    <w:p>
      <w:pPr>
        <w:rPr>
          <w:rFonts w:ascii="宋体" w:hAnsi="宋体"/>
          <w:color w:val="000000"/>
          <w:sz w:val="20"/>
          <w:szCs w:val="20"/>
        </w:rPr>
      </w:pPr>
      <w:r>
        <w:rPr>
          <w:rFonts w:hint="eastAsia" w:ascii="宋体" w:hAnsi="宋体"/>
          <w:color w:val="000000"/>
          <w:sz w:val="20"/>
          <w:szCs w:val="20"/>
        </w:rPr>
        <w:t>（注：各子栏目数总数要等于总栏目数量）</w:t>
      </w:r>
    </w:p>
    <w:p/>
    <w:p>
      <w:pPr>
        <w:ind w:firstLine="640" w:firstLineChars="200"/>
        <w:rPr>
          <w:rFonts w:ascii="仿宋_GB2312" w:hAnsi="仿宋_GB2312" w:eastAsia="仿宋_GB2312" w:cs="仿宋_GB2312"/>
          <w:sz w:val="32"/>
          <w:szCs w:val="32"/>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9UHsbRoCAAAhBAAADgAA&#10;AAAAAAABACAAAAAfAQAAZHJzL2Uyb0RvYy54bWxQSwUGAAAAAAYABgBZAQAAqw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8"/>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DC4B3A"/>
    <w:rsid w:val="00083225"/>
    <w:rsid w:val="00112B8F"/>
    <w:rsid w:val="00126BCC"/>
    <w:rsid w:val="001409F7"/>
    <w:rsid w:val="00145EAD"/>
    <w:rsid w:val="00154155"/>
    <w:rsid w:val="00166D7A"/>
    <w:rsid w:val="001957CF"/>
    <w:rsid w:val="0022205F"/>
    <w:rsid w:val="00346263"/>
    <w:rsid w:val="00363F45"/>
    <w:rsid w:val="0037255F"/>
    <w:rsid w:val="003C4B0B"/>
    <w:rsid w:val="003C4DFB"/>
    <w:rsid w:val="00421F3A"/>
    <w:rsid w:val="00425A7D"/>
    <w:rsid w:val="004D0360"/>
    <w:rsid w:val="004E230F"/>
    <w:rsid w:val="00531A9D"/>
    <w:rsid w:val="005977A4"/>
    <w:rsid w:val="00631541"/>
    <w:rsid w:val="00662A62"/>
    <w:rsid w:val="006766D2"/>
    <w:rsid w:val="006A61AE"/>
    <w:rsid w:val="006B185A"/>
    <w:rsid w:val="00763F1A"/>
    <w:rsid w:val="007655E1"/>
    <w:rsid w:val="00767F80"/>
    <w:rsid w:val="0077335D"/>
    <w:rsid w:val="007918FA"/>
    <w:rsid w:val="007A581F"/>
    <w:rsid w:val="007C70C9"/>
    <w:rsid w:val="007F4A6C"/>
    <w:rsid w:val="00815B6C"/>
    <w:rsid w:val="008558E9"/>
    <w:rsid w:val="00867E2C"/>
    <w:rsid w:val="00923B01"/>
    <w:rsid w:val="00973273"/>
    <w:rsid w:val="009B74FF"/>
    <w:rsid w:val="009B768B"/>
    <w:rsid w:val="00A50124"/>
    <w:rsid w:val="00AE0C56"/>
    <w:rsid w:val="00B47AD2"/>
    <w:rsid w:val="00B566B4"/>
    <w:rsid w:val="00BA5DA9"/>
    <w:rsid w:val="00C161F3"/>
    <w:rsid w:val="00C24587"/>
    <w:rsid w:val="00C25134"/>
    <w:rsid w:val="00C37B7D"/>
    <w:rsid w:val="00C4367E"/>
    <w:rsid w:val="00C538EE"/>
    <w:rsid w:val="00CE5BDB"/>
    <w:rsid w:val="00DA5C5B"/>
    <w:rsid w:val="00E44122"/>
    <w:rsid w:val="00E7352A"/>
    <w:rsid w:val="00ED4845"/>
    <w:rsid w:val="00F04A9A"/>
    <w:rsid w:val="00FA45B9"/>
    <w:rsid w:val="00FA6FFD"/>
    <w:rsid w:val="00FE17EE"/>
    <w:rsid w:val="023918F8"/>
    <w:rsid w:val="029D1841"/>
    <w:rsid w:val="02A83C68"/>
    <w:rsid w:val="09794684"/>
    <w:rsid w:val="0A88212D"/>
    <w:rsid w:val="0D74159B"/>
    <w:rsid w:val="14C4628D"/>
    <w:rsid w:val="153F0930"/>
    <w:rsid w:val="167A3AEE"/>
    <w:rsid w:val="1DA34FB8"/>
    <w:rsid w:val="274C7FA6"/>
    <w:rsid w:val="29080B28"/>
    <w:rsid w:val="29E64577"/>
    <w:rsid w:val="2AC32287"/>
    <w:rsid w:val="2E172F07"/>
    <w:rsid w:val="2EA72084"/>
    <w:rsid w:val="300849C7"/>
    <w:rsid w:val="32A26FC8"/>
    <w:rsid w:val="360475FB"/>
    <w:rsid w:val="3717005D"/>
    <w:rsid w:val="3DD72511"/>
    <w:rsid w:val="3EF61168"/>
    <w:rsid w:val="44834524"/>
    <w:rsid w:val="44FD09B9"/>
    <w:rsid w:val="459A1C1C"/>
    <w:rsid w:val="4FE57329"/>
    <w:rsid w:val="50DC4B3A"/>
    <w:rsid w:val="547A1311"/>
    <w:rsid w:val="55516939"/>
    <w:rsid w:val="57BA129E"/>
    <w:rsid w:val="58EE6416"/>
    <w:rsid w:val="590012D1"/>
    <w:rsid w:val="59B3730B"/>
    <w:rsid w:val="5A567CEE"/>
    <w:rsid w:val="5A9578FF"/>
    <w:rsid w:val="5F397D09"/>
    <w:rsid w:val="71176FD4"/>
    <w:rsid w:val="76A5002E"/>
    <w:rsid w:val="7C5931A2"/>
    <w:rsid w:val="7E633C75"/>
    <w:rsid w:val="7E922E8F"/>
    <w:rsid w:val="7EE55B55"/>
    <w:rsid w:val="7FDE3B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unhideWhenUsed/>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jc w:val="left"/>
    </w:pPr>
    <w:rPr>
      <w:rFonts w:ascii="宋体" w:hAnsi="宋体" w:cs="宋体"/>
      <w:kern w:val="0"/>
      <w:sz w:val="24"/>
    </w:rPr>
  </w:style>
  <w:style w:type="character" w:styleId="8">
    <w:name w:val="Strong"/>
    <w:basedOn w:val="7"/>
    <w:qFormat/>
    <w:uiPriority w:val="0"/>
    <w:rPr>
      <w:b/>
      <w:bCs/>
    </w:rPr>
  </w:style>
  <w:style w:type="character" w:styleId="9">
    <w:name w:val="page number"/>
    <w:basedOn w:val="7"/>
    <w:qFormat/>
    <w:uiPriority w:val="0"/>
  </w:style>
  <w:style w:type="character" w:styleId="10">
    <w:name w:val="Hyperlink"/>
    <w:basedOn w:val="7"/>
    <w:unhideWhenUsed/>
    <w:qFormat/>
    <w:uiPriority w:val="99"/>
    <w:rPr>
      <w:color w:val="333333"/>
      <w:u w:val="none"/>
    </w:rPr>
  </w:style>
  <w:style w:type="character" w:customStyle="1" w:styleId="11">
    <w:name w:val="批注框文本 Char"/>
    <w:basedOn w:val="7"/>
    <w:link w:val="2"/>
    <w:uiPriority w:val="0"/>
    <w:rPr>
      <w:kern w:val="2"/>
      <w:sz w:val="18"/>
      <w:szCs w:val="18"/>
    </w:rPr>
  </w:style>
  <w:style w:type="paragraph" w:customStyle="1" w:styleId="12">
    <w:name w:val="List Paragraph"/>
    <w:basedOn w:val="1"/>
    <w:unhideWhenUsed/>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19</Pages>
  <Words>704</Words>
  <Characters>4013</Characters>
  <Lines>33</Lines>
  <Paragraphs>9</Paragraphs>
  <TotalTime>11</TotalTime>
  <ScaleCrop>false</ScaleCrop>
  <LinksUpToDate>false</LinksUpToDate>
  <CharactersWithSpaces>4708</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2019-01-25T10:22:00Z</dcterms:created>
  <dc:creator>Administrator</dc:creator>
  <cp:lastModifiedBy>Administrator</cp:lastModifiedBy>
  <cp:lastPrinted>2018-01-26T06:30:00Z</cp:lastPrinted>
  <dcterms:modified xsi:type="dcterms:W3CDTF">2019-03-29T01:27:20Z</dcterms:modified>
  <dc:title>山东省民族事务委员会</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