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  <w:sz w:val="36"/>
          <w:szCs w:val="36"/>
        </w:rPr>
        <w:t>2016</w:t>
      </w:r>
      <w:r>
        <w:rPr>
          <w:rFonts w:hint="eastAsia" w:ascii="宋体" w:hAnsi="宋体" w:cs="宋体"/>
          <w:b/>
          <w:bCs/>
          <w:sz w:val="36"/>
          <w:szCs w:val="36"/>
        </w:rPr>
        <w:t>年度政府信息公开工作情况统计表</w:t>
      </w:r>
    </w:p>
    <w:p>
      <w:pPr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</w:t>
      </w:r>
      <w:r>
        <w:rPr>
          <w:rFonts w:hint="eastAsia" w:ascii="仿宋" w:hAnsi="仿宋" w:cs="宋体"/>
          <w:b/>
          <w:bCs/>
          <w:sz w:val="28"/>
          <w:szCs w:val="28"/>
        </w:rPr>
        <w:t>莱芜市</w:t>
      </w:r>
      <w:r>
        <w:rPr>
          <w:rFonts w:hint="eastAsia" w:ascii="宋体" w:hAnsi="宋体" w:cs="宋体"/>
          <w:b/>
          <w:bCs/>
          <w:sz w:val="28"/>
          <w:szCs w:val="28"/>
        </w:rPr>
        <w:t>）</w:t>
      </w:r>
    </w:p>
    <w:tbl>
      <w:tblPr>
        <w:tblStyle w:val="6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Autospacing="0" w:afterAutospacing="0" w:line="420" w:lineRule="atLeast"/>
              <w:ind w:firstLine="685"/>
              <w:jc w:val="center"/>
              <w:rPr>
                <w:rFonts w:cs="Times New Roman"/>
                <w:color w:val="000000"/>
              </w:rPr>
            </w:pPr>
            <w:r>
              <w:rPr>
                <w:rStyle w:val="5"/>
                <w:rFonts w:hint="eastAsia" w:cs="宋体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cs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cs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（一）主动公开政府信息数（不同渠道和方式公开相同信息计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条）</w:t>
            </w:r>
            <w:r>
              <w:rPr>
                <w:rFonts w:ascii="宋体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（不同渠道和方式公开相同信息计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9109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7671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290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607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二、回应解读情况（不同方式回应同一热点或舆情计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spacing w:beforeAutospacing="0" w:afterAutospacing="0" w:line="420" w:lineRule="atLeast"/>
              <w:ind w:firstLine="685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Autospacing="0" w:afterAutospacing="0" w:line="420" w:lineRule="atLeast"/>
              <w:ind w:firstLine="31680" w:firstLineChars="200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color w:val="000000"/>
                <w:kern w:val="2"/>
                <w:sz w:val="20"/>
                <w:szCs w:val="20"/>
              </w:rPr>
              <w:t>　　　　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color w:val="000000"/>
                <w:kern w:val="2"/>
                <w:sz w:val="20"/>
                <w:szCs w:val="20"/>
              </w:rPr>
              <w:t>（不同方式回应同一热点或舆情计</w:t>
            </w:r>
            <w:r>
              <w:rPr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hint="eastAsia" w:cs="宋体"/>
                <w:color w:val="000000"/>
                <w:kern w:val="2"/>
                <w:sz w:val="20"/>
                <w:szCs w:val="20"/>
              </w:rPr>
              <w:t>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8276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8216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spacing w:beforeAutospacing="0" w:afterAutospacing="0" w:line="420" w:lineRule="atLeast"/>
              <w:ind w:firstLine="685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hAnsi="宋体" w:eastAsia="仿宋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hAnsi="宋体" w:eastAsia="仿宋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hAnsi="宋体" w:eastAsia="仿宋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hAnsi="宋体" w:eastAsia="仿宋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hAnsi="宋体" w:eastAsia="仿宋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608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hAnsi="宋体" w:eastAsia="仿宋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458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hAnsi="宋体" w:eastAsia="仿宋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55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（一）市政府及其部门门户网站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52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（二）县（市、区）政府门户网站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（三）乡镇政府（街道办事处）门户网站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九、市政府公报发行量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500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（一）公报发行期数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52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698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378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righ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230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126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righ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120</w:t>
            </w:r>
          </w:p>
        </w:tc>
      </w:tr>
    </w:tbl>
    <w:p>
      <w:pPr>
        <w:rPr>
          <w:rFonts w:cs="Times New Roman"/>
        </w:rPr>
      </w:pPr>
      <w:r>
        <w:rPr>
          <w:rFonts w:hint="eastAsia" w:ascii="宋体" w:hAnsi="宋体" w:cs="宋体"/>
          <w:color w:val="000000"/>
          <w:sz w:val="20"/>
          <w:szCs w:val="20"/>
        </w:rPr>
        <w:t>（注：各子栏目数总数要等于总栏目数量）</w:t>
      </w:r>
    </w:p>
    <w:p>
      <w:bookmarkStart w:id="0" w:name="_GoBack"/>
      <w:bookmarkEnd w:id="0"/>
    </w:p>
    <w:sectPr>
      <w:footerReference r:id="rId3" w:type="default"/>
      <w:pgSz w:w="11906" w:h="16838"/>
      <w:pgMar w:top="1412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824C9"/>
    <w:rsid w:val="012824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2017-04-09T08:16:00Z</dcterms:created>
  <dc:creator>gy</dc:creator>
  <cp:lastModifiedBy>gy</cp:lastModifiedBy>
  <dcterms:modified xsi:type="dcterms:W3CDTF">2017-04-09T08:16:56Z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