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rPr>
      </w:pPr>
      <w:bookmarkStart w:id="0" w:name="_GoBack"/>
      <w:r>
        <w:rPr>
          <w:rFonts w:hint="eastAsia" w:ascii="黑体" w:eastAsia="黑体"/>
          <w:color w:val="auto"/>
        </w:rPr>
        <w:t>SDPR-2023-014000</w:t>
      </w:r>
      <w:r>
        <w:rPr>
          <w:rFonts w:hint="eastAsia" w:ascii="黑体" w:eastAsia="黑体"/>
          <w:color w:val="auto"/>
          <w:lang w:val="en-US" w:eastAsia="zh-CN"/>
        </w:rPr>
        <w:t>7</w:t>
      </w:r>
    </w:p>
    <w:p>
      <w:pPr>
        <w:spacing w:line="240" w:lineRule="exact"/>
        <w:rPr>
          <w:rFonts w:hint="eastAsia" w:ascii="黑体" w:eastAsia="黑体"/>
          <w:color w:val="auto"/>
        </w:rPr>
      </w:pPr>
    </w:p>
    <w:tbl>
      <w:tblPr>
        <w:tblStyle w:val="9"/>
        <w:tblW w:w="9060" w:type="dxa"/>
        <w:jc w:val="center"/>
        <w:tblLayout w:type="fixed"/>
        <w:tblCellMar>
          <w:top w:w="0" w:type="dxa"/>
          <w:left w:w="108" w:type="dxa"/>
          <w:bottom w:w="0" w:type="dxa"/>
          <w:right w:w="108" w:type="dxa"/>
        </w:tblCellMar>
      </w:tblPr>
      <w:tblGrid>
        <w:gridCol w:w="7613"/>
        <w:gridCol w:w="1447"/>
      </w:tblGrid>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eastAsia="方正小标宋简体"/>
                <w:color w:val="FF0000"/>
                <w:kern w:val="60"/>
                <w:sz w:val="50"/>
                <w:szCs w:val="50"/>
              </w:rPr>
            </w:pPr>
            <w:r>
              <w:rPr>
                <w:rFonts w:hint="eastAsia" w:ascii="方正小标宋简体" w:hAnsi="文星标宋" w:eastAsia="方正小标宋简体"/>
                <w:color w:val="FF0000"/>
                <w:w w:val="99"/>
                <w:kern w:val="60"/>
                <w:sz w:val="50"/>
                <w:szCs w:val="50"/>
              </w:rPr>
              <w:t>山东省人力资源和社会保障厅</w:t>
            </w:r>
          </w:p>
        </w:tc>
        <w:tc>
          <w:tcPr>
            <w:tcW w:w="1447" w:type="dxa"/>
            <w:vMerge w:val="restart"/>
            <w:vAlign w:val="center"/>
          </w:tcPr>
          <w:p>
            <w:pPr>
              <w:spacing w:line="920" w:lineRule="exact"/>
              <w:jc w:val="center"/>
              <w:rPr>
                <w:rFonts w:hint="eastAsia" w:ascii="方正小标宋简体" w:eastAsia="方正小标宋简体"/>
                <w:color w:val="FF0000"/>
                <w:sz w:val="72"/>
                <w:szCs w:val="72"/>
              </w:rPr>
            </w:pPr>
            <w:r>
              <w:rPr>
                <w:rFonts w:hint="eastAsia" w:ascii="方正小标宋简体" w:hAnsi="文星标宋" w:eastAsia="方正小标宋简体"/>
                <w:color w:val="FF0000"/>
                <w:sz w:val="60"/>
                <w:szCs w:val="60"/>
              </w:rPr>
              <w:t>文件</w:t>
            </w: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51"/>
                <w:kern w:val="0"/>
                <w:sz w:val="50"/>
                <w:szCs w:val="50"/>
              </w:rPr>
            </w:pPr>
            <w:r>
              <w:rPr>
                <w:rFonts w:hint="eastAsia" w:ascii="方正小标宋简体" w:hAnsi="文星标宋" w:eastAsia="方正小标宋简体"/>
                <w:color w:val="FF0000"/>
                <w:spacing w:val="51"/>
                <w:kern w:val="0"/>
                <w:sz w:val="50"/>
                <w:szCs w:val="50"/>
              </w:rPr>
              <w:t>山东省发展和改革委员</w:t>
            </w:r>
            <w:r>
              <w:rPr>
                <w:rFonts w:hint="eastAsia" w:ascii="方正小标宋简体" w:hAnsi="文星标宋" w:eastAsia="方正小标宋简体"/>
                <w:color w:val="FF0000"/>
                <w:w w:val="99"/>
                <w:kern w:val="60"/>
                <w:sz w:val="50"/>
                <w:szCs w:val="50"/>
              </w:rPr>
              <w:t>会</w:t>
            </w:r>
          </w:p>
        </w:tc>
        <w:tc>
          <w:tcPr>
            <w:tcW w:w="1447" w:type="dxa"/>
            <w:vMerge w:val="continue"/>
            <w:vAlign w:val="center"/>
          </w:tcPr>
          <w:p>
            <w:pPr>
              <w:spacing w:line="920" w:lineRule="exact"/>
              <w:jc w:val="center"/>
              <w:rPr>
                <w:rFonts w:hint="eastAsia" w:ascii="方正小标宋简体" w:eastAsia="方正小标宋简体"/>
                <w:color w:val="FF0000"/>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51"/>
                <w:kern w:val="0"/>
                <w:sz w:val="50"/>
                <w:szCs w:val="50"/>
              </w:rPr>
            </w:pPr>
            <w:r>
              <w:rPr>
                <w:rFonts w:hint="eastAsia" w:ascii="方正小标宋简体" w:hAnsi="文星标宋" w:eastAsia="方正小标宋简体"/>
                <w:color w:val="FF0000"/>
                <w:spacing w:val="51"/>
                <w:kern w:val="0"/>
                <w:sz w:val="50"/>
                <w:szCs w:val="50"/>
              </w:rPr>
              <w:t>山东省财政</w:t>
            </w:r>
            <w:r>
              <w:rPr>
                <w:rFonts w:hint="eastAsia" w:ascii="方正小标宋简体" w:hAnsi="文星标宋" w:eastAsia="方正小标宋简体"/>
                <w:color w:val="FF0000"/>
                <w:w w:val="99"/>
                <w:kern w:val="60"/>
                <w:sz w:val="50"/>
                <w:szCs w:val="50"/>
              </w:rPr>
              <w:t>厅</w:t>
            </w:r>
          </w:p>
        </w:tc>
        <w:tc>
          <w:tcPr>
            <w:tcW w:w="1447" w:type="dxa"/>
            <w:vMerge w:val="continue"/>
            <w:vAlign w:val="center"/>
          </w:tcPr>
          <w:p>
            <w:pPr>
              <w:spacing w:line="920" w:lineRule="exact"/>
              <w:jc w:val="center"/>
              <w:rPr>
                <w:rFonts w:hint="eastAsia" w:ascii="方正小标宋简体" w:eastAsia="方正小标宋简体"/>
                <w:color w:val="FF0000"/>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51"/>
                <w:kern w:val="0"/>
                <w:sz w:val="50"/>
                <w:szCs w:val="50"/>
              </w:rPr>
            </w:pPr>
            <w:r>
              <w:rPr>
                <w:rFonts w:hint="eastAsia" w:ascii="方正小标宋简体" w:hAnsi="文星标宋" w:eastAsia="方正小标宋简体"/>
                <w:color w:val="FF0000"/>
                <w:spacing w:val="51"/>
                <w:kern w:val="0"/>
                <w:sz w:val="50"/>
                <w:szCs w:val="50"/>
              </w:rPr>
              <w:t>山东省住房和城乡建设</w:t>
            </w:r>
            <w:r>
              <w:rPr>
                <w:rFonts w:hint="eastAsia" w:ascii="方正小标宋简体" w:hAnsi="文星标宋" w:eastAsia="方正小标宋简体"/>
                <w:color w:val="FF0000"/>
                <w:w w:val="99"/>
                <w:kern w:val="60"/>
                <w:sz w:val="50"/>
                <w:szCs w:val="50"/>
              </w:rPr>
              <w:t>厅</w:t>
            </w:r>
          </w:p>
        </w:tc>
        <w:tc>
          <w:tcPr>
            <w:tcW w:w="1447" w:type="dxa"/>
            <w:vMerge w:val="continue"/>
            <w:vAlign w:val="center"/>
          </w:tcPr>
          <w:p>
            <w:pPr>
              <w:spacing w:line="920" w:lineRule="exact"/>
              <w:jc w:val="center"/>
              <w:rPr>
                <w:rFonts w:hint="eastAsia" w:ascii="方正小标宋简体" w:eastAsia="方正小标宋简体"/>
                <w:color w:val="FF0000"/>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51"/>
                <w:kern w:val="0"/>
                <w:sz w:val="50"/>
                <w:szCs w:val="50"/>
              </w:rPr>
            </w:pPr>
            <w:r>
              <w:rPr>
                <w:rFonts w:hint="eastAsia" w:ascii="方正小标宋简体" w:hAnsi="文星标宋" w:eastAsia="方正小标宋简体"/>
                <w:color w:val="FF0000"/>
                <w:spacing w:val="51"/>
                <w:kern w:val="0"/>
                <w:sz w:val="50"/>
                <w:szCs w:val="50"/>
              </w:rPr>
              <w:t>山东省交通运输</w:t>
            </w:r>
            <w:r>
              <w:rPr>
                <w:rFonts w:hint="eastAsia" w:ascii="方正小标宋简体" w:hAnsi="文星标宋" w:eastAsia="方正小标宋简体"/>
                <w:color w:val="FF0000"/>
                <w:w w:val="99"/>
                <w:kern w:val="60"/>
                <w:sz w:val="50"/>
                <w:szCs w:val="50"/>
              </w:rPr>
              <w:t>厅</w:t>
            </w:r>
          </w:p>
        </w:tc>
        <w:tc>
          <w:tcPr>
            <w:tcW w:w="1447" w:type="dxa"/>
            <w:vMerge w:val="continue"/>
            <w:vAlign w:val="center"/>
          </w:tcPr>
          <w:p>
            <w:pPr>
              <w:spacing w:line="920" w:lineRule="exact"/>
              <w:jc w:val="center"/>
              <w:rPr>
                <w:rFonts w:hint="eastAsia" w:ascii="方正小标宋简体" w:eastAsia="方正小标宋简体"/>
                <w:color w:val="FF0000"/>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51"/>
                <w:kern w:val="0"/>
                <w:sz w:val="50"/>
                <w:szCs w:val="50"/>
              </w:rPr>
            </w:pPr>
            <w:r>
              <w:rPr>
                <w:rFonts w:hint="eastAsia" w:ascii="方正小标宋简体" w:hAnsi="文星标宋" w:eastAsia="方正小标宋简体"/>
                <w:color w:val="FF0000"/>
                <w:spacing w:val="51"/>
                <w:kern w:val="0"/>
                <w:sz w:val="50"/>
                <w:szCs w:val="50"/>
              </w:rPr>
              <w:t>山东省水利</w:t>
            </w:r>
            <w:r>
              <w:rPr>
                <w:rFonts w:hint="eastAsia" w:ascii="方正小标宋简体" w:hAnsi="文星标宋" w:eastAsia="方正小标宋简体"/>
                <w:color w:val="FF0000"/>
                <w:w w:val="100"/>
                <w:kern w:val="60"/>
                <w:sz w:val="50"/>
                <w:szCs w:val="50"/>
              </w:rPr>
              <w:t>厅</w:t>
            </w:r>
          </w:p>
        </w:tc>
        <w:tc>
          <w:tcPr>
            <w:tcW w:w="1447" w:type="dxa"/>
            <w:vMerge w:val="continue"/>
            <w:vAlign w:val="center"/>
          </w:tcPr>
          <w:p>
            <w:pPr>
              <w:spacing w:line="920" w:lineRule="exact"/>
              <w:jc w:val="center"/>
              <w:rPr>
                <w:rFonts w:hint="eastAsia" w:ascii="方正小标宋简体" w:eastAsia="方正小标宋简体"/>
                <w:color w:val="FF0000"/>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51"/>
                <w:kern w:val="0"/>
                <w:sz w:val="50"/>
                <w:szCs w:val="50"/>
              </w:rPr>
            </w:pPr>
            <w:r>
              <w:rPr>
                <w:rFonts w:hint="eastAsia" w:ascii="方正小标宋简体" w:hAnsi="文星标宋" w:eastAsia="方正小标宋简体"/>
                <w:color w:val="FF0000"/>
                <w:spacing w:val="51"/>
                <w:kern w:val="0"/>
                <w:sz w:val="50"/>
                <w:szCs w:val="50"/>
              </w:rPr>
              <w:t>中国人民银行济南分</w:t>
            </w:r>
            <w:r>
              <w:rPr>
                <w:rFonts w:hint="eastAsia" w:ascii="方正小标宋简体" w:hAnsi="文星标宋" w:eastAsia="方正小标宋简体"/>
                <w:color w:val="FF0000"/>
                <w:spacing w:val="0"/>
                <w:kern w:val="0"/>
                <w:sz w:val="50"/>
                <w:szCs w:val="50"/>
              </w:rPr>
              <w:t>行</w:t>
            </w:r>
          </w:p>
        </w:tc>
        <w:tc>
          <w:tcPr>
            <w:tcW w:w="1447" w:type="dxa"/>
            <w:vMerge w:val="continue"/>
            <w:vAlign w:val="center"/>
          </w:tcPr>
          <w:p>
            <w:pPr>
              <w:spacing w:line="920" w:lineRule="exact"/>
              <w:jc w:val="center"/>
              <w:rPr>
                <w:rFonts w:hint="eastAsia" w:ascii="方正小标宋简体" w:eastAsia="方正小标宋简体"/>
                <w:color w:val="auto"/>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20"/>
                <w:w w:val="85"/>
                <w:kern w:val="0"/>
                <w:sz w:val="50"/>
                <w:szCs w:val="50"/>
              </w:rPr>
            </w:pPr>
            <w:r>
              <w:rPr>
                <w:rFonts w:hint="eastAsia" w:ascii="方正小标宋简体" w:hAnsi="文星标宋" w:eastAsia="方正小标宋简体"/>
                <w:color w:val="FF0000"/>
                <w:spacing w:val="-20"/>
                <w:w w:val="85"/>
                <w:kern w:val="0"/>
                <w:sz w:val="50"/>
                <w:szCs w:val="50"/>
              </w:rPr>
              <w:t>中国银行保险监督管理委员会山东监管</w:t>
            </w:r>
            <w:r>
              <w:rPr>
                <w:rFonts w:hint="eastAsia" w:ascii="方正小标宋简体" w:hAnsi="文星标宋" w:eastAsia="方正小标宋简体"/>
                <w:color w:val="FF0000"/>
                <w:spacing w:val="0"/>
                <w:w w:val="85"/>
                <w:kern w:val="0"/>
                <w:sz w:val="50"/>
                <w:szCs w:val="50"/>
              </w:rPr>
              <w:t>局</w:t>
            </w:r>
          </w:p>
        </w:tc>
        <w:tc>
          <w:tcPr>
            <w:tcW w:w="1447" w:type="dxa"/>
            <w:vMerge w:val="continue"/>
            <w:vAlign w:val="center"/>
          </w:tcPr>
          <w:p>
            <w:pPr>
              <w:spacing w:line="920" w:lineRule="exact"/>
              <w:jc w:val="center"/>
              <w:rPr>
                <w:rFonts w:hint="eastAsia" w:ascii="方正小标宋简体" w:eastAsia="方正小标宋简体"/>
                <w:color w:val="auto"/>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20"/>
                <w:w w:val="85"/>
                <w:kern w:val="0"/>
                <w:sz w:val="50"/>
                <w:szCs w:val="50"/>
              </w:rPr>
            </w:pPr>
            <w:r>
              <w:rPr>
                <w:rFonts w:hint="eastAsia" w:ascii="方正小标宋简体" w:hAnsi="文星标宋" w:eastAsia="方正小标宋简体"/>
                <w:color w:val="FF0000"/>
                <w:spacing w:val="-20"/>
                <w:w w:val="85"/>
                <w:kern w:val="0"/>
                <w:sz w:val="50"/>
                <w:szCs w:val="50"/>
              </w:rPr>
              <w:t>中国银行保险监督管理委员会青岛监管</w:t>
            </w:r>
            <w:r>
              <w:rPr>
                <w:rFonts w:hint="eastAsia" w:ascii="方正小标宋简体" w:hAnsi="文星标宋" w:eastAsia="方正小标宋简体"/>
                <w:color w:val="FF0000"/>
                <w:spacing w:val="0"/>
                <w:w w:val="85"/>
                <w:kern w:val="0"/>
                <w:sz w:val="50"/>
                <w:szCs w:val="50"/>
              </w:rPr>
              <w:t>局</w:t>
            </w:r>
          </w:p>
        </w:tc>
        <w:tc>
          <w:tcPr>
            <w:tcW w:w="1447" w:type="dxa"/>
            <w:vMerge w:val="continue"/>
            <w:vAlign w:val="center"/>
          </w:tcPr>
          <w:p>
            <w:pPr>
              <w:spacing w:line="920" w:lineRule="exact"/>
              <w:jc w:val="center"/>
              <w:rPr>
                <w:rFonts w:hint="eastAsia" w:ascii="方正小标宋简体" w:eastAsia="方正小标宋简体"/>
                <w:color w:val="auto"/>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0"/>
                <w:kern w:val="0"/>
                <w:sz w:val="50"/>
                <w:szCs w:val="50"/>
              </w:rPr>
            </w:pPr>
            <w:r>
              <w:rPr>
                <w:rFonts w:hint="eastAsia" w:ascii="方正小标宋简体" w:hAnsi="文星标宋" w:eastAsia="方正小标宋简体"/>
                <w:color w:val="FF0000"/>
                <w:spacing w:val="0"/>
                <w:kern w:val="0"/>
                <w:sz w:val="50"/>
                <w:szCs w:val="50"/>
              </w:rPr>
              <w:t>上海铁路监督管理局</w:t>
            </w:r>
          </w:p>
        </w:tc>
        <w:tc>
          <w:tcPr>
            <w:tcW w:w="1447" w:type="dxa"/>
            <w:vMerge w:val="continue"/>
            <w:vAlign w:val="center"/>
          </w:tcPr>
          <w:p>
            <w:pPr>
              <w:spacing w:line="920" w:lineRule="exact"/>
              <w:jc w:val="center"/>
              <w:rPr>
                <w:rFonts w:hint="eastAsia" w:ascii="方正小标宋简体" w:eastAsia="方正小标宋简体"/>
                <w:color w:val="auto"/>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0"/>
                <w:kern w:val="0"/>
                <w:sz w:val="50"/>
                <w:szCs w:val="50"/>
              </w:rPr>
            </w:pPr>
            <w:r>
              <w:rPr>
                <w:rFonts w:hint="eastAsia" w:ascii="方正小标宋简体" w:hAnsi="文星标宋" w:eastAsia="方正小标宋简体"/>
                <w:color w:val="FF0000"/>
                <w:spacing w:val="0"/>
                <w:kern w:val="0"/>
                <w:sz w:val="50"/>
                <w:szCs w:val="50"/>
              </w:rPr>
              <w:t>黄河水利委员会山东黄河河务</w:t>
            </w:r>
            <w:r>
              <w:rPr>
                <w:rFonts w:hint="eastAsia" w:ascii="方正小标宋简体" w:hAnsi="文星标宋" w:eastAsia="方正小标宋简体"/>
                <w:color w:val="FF0000"/>
                <w:spacing w:val="1"/>
                <w:kern w:val="0"/>
                <w:sz w:val="50"/>
                <w:szCs w:val="50"/>
              </w:rPr>
              <w:t>局</w:t>
            </w:r>
          </w:p>
        </w:tc>
        <w:tc>
          <w:tcPr>
            <w:tcW w:w="1447" w:type="dxa"/>
            <w:vMerge w:val="continue"/>
            <w:vAlign w:val="center"/>
          </w:tcPr>
          <w:p>
            <w:pPr>
              <w:spacing w:line="920" w:lineRule="exact"/>
              <w:jc w:val="center"/>
              <w:rPr>
                <w:rFonts w:hint="eastAsia" w:ascii="方正小标宋简体" w:eastAsia="方正小标宋简体"/>
                <w:color w:val="auto"/>
                <w:sz w:val="44"/>
                <w:szCs w:val="44"/>
              </w:rPr>
            </w:pPr>
          </w:p>
        </w:tc>
      </w:tr>
      <w:tr>
        <w:tblPrEx>
          <w:tblCellMar>
            <w:top w:w="0" w:type="dxa"/>
            <w:left w:w="108" w:type="dxa"/>
            <w:bottom w:w="0" w:type="dxa"/>
            <w:right w:w="108" w:type="dxa"/>
          </w:tblCellMar>
        </w:tblPrEx>
        <w:trPr>
          <w:trHeight w:val="624" w:hRule="exact"/>
          <w:jc w:val="center"/>
        </w:trPr>
        <w:tc>
          <w:tcPr>
            <w:tcW w:w="7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distribute"/>
              <w:textAlignment w:val="auto"/>
              <w:outlineLvl w:val="9"/>
              <w:rPr>
                <w:rFonts w:hint="eastAsia" w:ascii="方正小标宋简体" w:hAnsi="文星标宋" w:eastAsia="方正小标宋简体"/>
                <w:color w:val="FF0000"/>
                <w:spacing w:val="0"/>
                <w:kern w:val="0"/>
                <w:sz w:val="50"/>
                <w:szCs w:val="50"/>
              </w:rPr>
            </w:pPr>
            <w:r>
              <w:rPr>
                <w:rFonts w:hint="eastAsia" w:ascii="方正小标宋简体" w:hAnsi="文星标宋" w:eastAsia="方正小标宋简体"/>
                <w:color w:val="FF0000"/>
                <w:spacing w:val="0"/>
                <w:w w:val="90"/>
                <w:kern w:val="0"/>
                <w:sz w:val="50"/>
                <w:szCs w:val="50"/>
              </w:rPr>
              <w:t>中国民用航空山东安全监督管理局</w:t>
            </w:r>
          </w:p>
        </w:tc>
        <w:tc>
          <w:tcPr>
            <w:tcW w:w="1447" w:type="dxa"/>
            <w:vMerge w:val="continue"/>
            <w:vAlign w:val="center"/>
          </w:tcPr>
          <w:p>
            <w:pPr>
              <w:spacing w:line="920" w:lineRule="exact"/>
              <w:jc w:val="center"/>
              <w:rPr>
                <w:rFonts w:hint="eastAsia" w:ascii="方正小标宋简体" w:eastAsia="方正小标宋简体"/>
                <w:color w:val="auto"/>
                <w:sz w:val="44"/>
                <w:szCs w:val="44"/>
              </w:rPr>
            </w:pPr>
          </w:p>
        </w:tc>
      </w:tr>
    </w:tbl>
    <w:p>
      <w:pPr>
        <w:spacing w:line="560" w:lineRule="exact"/>
        <w:jc w:val="center"/>
        <w:rPr>
          <w:rFonts w:hint="eastAsia" w:ascii="仿宋_GB2312" w:eastAsia="仿宋_GB2312"/>
          <w:color w:val="auto"/>
        </w:rPr>
      </w:pPr>
    </w:p>
    <w:p>
      <w:pPr>
        <w:spacing w:line="560" w:lineRule="exact"/>
        <w:jc w:val="center"/>
        <w:rPr>
          <w:rFonts w:hint="eastAsia" w:ascii="仿宋_GB2312" w:eastAsia="仿宋_GB2312"/>
          <w:bCs/>
          <w:color w:val="auto"/>
        </w:rPr>
      </w:pPr>
      <w:r>
        <w:rPr>
          <w:rFonts w:hint="eastAsia" w:ascii="仿宋_GB2312" w:eastAsia="仿宋_GB2312"/>
          <w:bCs/>
          <w:color w:val="auto"/>
        </w:rPr>
        <w:t>鲁人社规〔202</w:t>
      </w:r>
      <w:r>
        <w:rPr>
          <w:rFonts w:hint="eastAsia" w:ascii="仿宋_GB2312"/>
          <w:bCs/>
          <w:color w:val="auto"/>
          <w:lang w:val="en-US" w:eastAsia="zh-CN"/>
        </w:rPr>
        <w:t>3</w:t>
      </w:r>
      <w:r>
        <w:rPr>
          <w:rFonts w:hint="eastAsia" w:ascii="仿宋_GB2312" w:eastAsia="仿宋_GB2312"/>
          <w:bCs/>
          <w:color w:val="auto"/>
        </w:rPr>
        <w:t>〕2号</w:t>
      </w:r>
    </w:p>
    <w:p>
      <w:pPr>
        <w:spacing w:line="560" w:lineRule="exact"/>
        <w:jc w:val="center"/>
        <w:rPr>
          <w:rFonts w:hint="eastAsia" w:ascii="仿宋_GB2312" w:eastAsia="仿宋_GB2312"/>
          <w:bCs/>
          <w:color w:val="auto"/>
        </w:rPr>
      </w:pPr>
      <w:r>
        <w:rPr>
          <w:rFonts w:hint="eastAsia" w:ascii="仿宋_GB2312" w:eastAsia="仿宋_GB2312"/>
          <w:bCs/>
          <w:color w:val="auto"/>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58420</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397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4.6pt;height:0pt;width:442.2pt;mso-position-horizontal:center;z-index:251660288;mso-width-relative:page;mso-height-relative:page;" filled="f" stroked="t" coordsize="21600,21600" o:gfxdata="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BHPHXU&#10;AAAABAEAAA8AAAAAAAAAAQAgAAAAIgAAAGRycy9kb3ducmV2LnhtbFBLAQIUABQAAAAIAIdO4kDe&#10;oYud6wEAANwDAAAOAAAAAAAAAAEAIAAAACMBAABkcnMvZTJvRG9jLnhtbFBLBQYAAAAABgAGAFkB&#10;AACABQAAAAA=&#10;">
                <v:fill on="f" focussize="0,0"/>
                <v:stroke weight="1.1pt" color="#FF0000" joinstyle="round"/>
                <v:imagedata o:title=""/>
                <o:lock v:ext="edit" aspectratio="f"/>
              </v:line>
            </w:pict>
          </mc:Fallback>
        </mc:AlternateContent>
      </w: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山东省人力资源和社会保障厅等12部门</w:t>
      </w:r>
    </w:p>
    <w:p>
      <w:pPr>
        <w:spacing w:line="560" w:lineRule="exact"/>
        <w:jc w:val="center"/>
        <w:rPr>
          <w:rFonts w:ascii="方正小标宋简体" w:hAnsi="方正小标宋简体" w:eastAsia="方正小标宋简体" w:cs="方正小标宋简体"/>
          <w:color w:val="auto"/>
          <w:sz w:val="44"/>
          <w:szCs w:val="44"/>
        </w:rPr>
      </w:pPr>
      <w:r>
        <w:rPr>
          <w:rStyle w:val="12"/>
          <w:rFonts w:hint="eastAsia" w:ascii="方正小标宋简体" w:hAnsi="方正小标宋简体" w:eastAsia="方正小标宋简体" w:cs="方正小标宋简体"/>
          <w:b w:val="0"/>
          <w:bCs w:val="0"/>
          <w:color w:val="auto"/>
          <w:spacing w:val="8"/>
          <w:sz w:val="44"/>
          <w:szCs w:val="44"/>
          <w:shd w:val="clear" w:color="auto" w:fill="FFFFFF"/>
        </w:rPr>
        <w:t>关于印发《</w:t>
      </w:r>
      <w:r>
        <w:rPr>
          <w:rFonts w:hint="eastAsia" w:ascii="方正小标宋简体" w:hAnsi="方正小标宋简体" w:eastAsia="方正小标宋简体" w:cs="方正小标宋简体"/>
          <w:color w:val="auto"/>
          <w:sz w:val="44"/>
          <w:szCs w:val="44"/>
        </w:rPr>
        <w:t>山东省农民工工资支付监管平台</w:t>
      </w:r>
    </w:p>
    <w:p>
      <w:pPr>
        <w:spacing w:line="560" w:lineRule="exact"/>
        <w:jc w:val="center"/>
        <w:rPr>
          <w:rStyle w:val="12"/>
          <w:rFonts w:ascii="方正小标宋简体" w:hAnsi="微软雅黑" w:eastAsia="方正小标宋简体"/>
          <w:b w:val="0"/>
          <w:color w:val="auto"/>
          <w:spacing w:val="8"/>
          <w:sz w:val="44"/>
          <w:szCs w:val="44"/>
          <w:shd w:val="clear" w:color="auto" w:fill="FFFFFF"/>
        </w:rPr>
      </w:pPr>
      <w:r>
        <w:rPr>
          <w:rFonts w:hint="eastAsia" w:ascii="方正小标宋简体" w:hAnsi="方正小标宋简体" w:eastAsia="方正小标宋简体" w:cs="方正小标宋简体"/>
          <w:color w:val="auto"/>
          <w:sz w:val="44"/>
          <w:szCs w:val="44"/>
        </w:rPr>
        <w:t>管理办法》</w:t>
      </w:r>
      <w:r>
        <w:rPr>
          <w:rStyle w:val="12"/>
          <w:rFonts w:hint="eastAsia" w:ascii="方正小标宋简体" w:hAnsi="方正小标宋简体" w:eastAsia="方正小标宋简体" w:cs="方正小标宋简体"/>
          <w:b w:val="0"/>
          <w:bCs w:val="0"/>
          <w:color w:val="auto"/>
          <w:spacing w:val="8"/>
          <w:sz w:val="44"/>
          <w:szCs w:val="44"/>
          <w:shd w:val="clear" w:color="auto" w:fill="FFFFFF"/>
        </w:rPr>
        <w:t>的通知</w:t>
      </w:r>
    </w:p>
    <w:p>
      <w:pPr>
        <w:pStyle w:val="8"/>
        <w:spacing w:beforeAutospacing="0" w:afterAutospacing="0" w:line="560" w:lineRule="exact"/>
        <w:jc w:val="both"/>
        <w:rPr>
          <w:rFonts w:ascii="仿宋_GB2312"/>
          <w:bCs/>
          <w:color w:val="auto"/>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ascii="仿宋_GB2312"/>
          <w:bCs/>
          <w:color w:val="auto"/>
        </w:rPr>
      </w:pPr>
      <w:r>
        <w:rPr>
          <w:rFonts w:hint="eastAsia" w:ascii="仿宋_GB2312"/>
          <w:bCs/>
          <w:color w:val="auto"/>
        </w:rPr>
        <w:t>现将新修订的《山东省农民工工资支付监管平台管理办法》印发给你们，请认真贯彻执行。</w:t>
      </w:r>
    </w:p>
    <w:p>
      <w:pPr>
        <w:spacing w:line="560" w:lineRule="exact"/>
        <w:ind w:firstLine="640"/>
        <w:jc w:val="center"/>
        <w:rPr>
          <w:rFonts w:ascii="仿宋_GB2312"/>
          <w:bCs/>
          <w:color w:val="auto"/>
        </w:rPr>
      </w:pPr>
    </w:p>
    <w:p>
      <w:pPr>
        <w:pStyle w:val="2"/>
        <w:jc w:val="center"/>
        <w:rPr>
          <w:color w:val="auto"/>
        </w:rPr>
      </w:pP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0"/>
        <w:gridCol w:w="3020"/>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vAlign w:val="center"/>
          </w:tcPr>
          <w:p>
            <w:pPr>
              <w:spacing w:line="560" w:lineRule="exact"/>
              <w:jc w:val="center"/>
              <w:rPr>
                <w:rFonts w:ascii="仿宋_GB2312"/>
                <w:bCs/>
                <w:color w:val="auto"/>
                <w:vertAlign w:val="baseline"/>
              </w:rPr>
            </w:pPr>
            <w:r>
              <w:rPr>
                <w:rFonts w:hint="eastAsia" w:ascii="仿宋_GB2312"/>
                <w:bCs/>
                <w:color w:val="auto"/>
              </w:rPr>
              <w:t>山东省人力资源和社会保障厅</w:t>
            </w:r>
          </w:p>
        </w:tc>
        <w:tc>
          <w:tcPr>
            <w:tcW w:w="3020" w:type="dxa"/>
            <w:vAlign w:val="center"/>
          </w:tcPr>
          <w:p>
            <w:pPr>
              <w:spacing w:line="560" w:lineRule="exact"/>
              <w:jc w:val="center"/>
              <w:rPr>
                <w:rFonts w:hint="eastAsia" w:ascii="仿宋_GB2312"/>
                <w:bCs/>
                <w:color w:val="auto"/>
              </w:rPr>
            </w:pPr>
            <w:r>
              <w:rPr>
                <w:rFonts w:hint="eastAsia" w:ascii="仿宋_GB2312"/>
                <w:bCs/>
                <w:color w:val="auto"/>
              </w:rPr>
              <w:t>山东省发展和</w:t>
            </w:r>
          </w:p>
          <w:p>
            <w:pPr>
              <w:spacing w:line="560" w:lineRule="exact"/>
              <w:jc w:val="center"/>
              <w:rPr>
                <w:rFonts w:ascii="仿宋_GB2312"/>
                <w:bCs/>
                <w:color w:val="auto"/>
                <w:vertAlign w:val="baseline"/>
              </w:rPr>
            </w:pPr>
            <w:r>
              <w:rPr>
                <w:rFonts w:hint="eastAsia" w:ascii="仿宋_GB2312"/>
                <w:bCs/>
                <w:color w:val="auto"/>
              </w:rPr>
              <w:t>改革委员会</w:t>
            </w:r>
          </w:p>
        </w:tc>
        <w:tc>
          <w:tcPr>
            <w:tcW w:w="3020" w:type="dxa"/>
            <w:vAlign w:val="center"/>
          </w:tcPr>
          <w:p>
            <w:pPr>
              <w:spacing w:line="560" w:lineRule="exact"/>
              <w:jc w:val="center"/>
              <w:rPr>
                <w:rFonts w:ascii="仿宋_GB2312"/>
                <w:bCs/>
                <w:color w:val="auto"/>
                <w:vertAlign w:val="baseline"/>
              </w:rPr>
            </w:pPr>
            <w:r>
              <w:rPr>
                <w:rFonts w:hint="eastAsia" w:ascii="仿宋_GB2312"/>
                <w:bCs/>
                <w:color w:val="auto"/>
              </w:rPr>
              <w:t>山东省财政厅</w:t>
            </w:r>
          </w:p>
        </w:tc>
      </w:tr>
    </w:tbl>
    <w:p>
      <w:pPr>
        <w:spacing w:line="560" w:lineRule="exact"/>
        <w:ind w:firstLine="640"/>
        <w:jc w:val="center"/>
        <w:rPr>
          <w:rFonts w:ascii="仿宋_GB2312"/>
          <w:bCs/>
          <w:color w:val="auto"/>
        </w:rPr>
      </w:pPr>
    </w:p>
    <w:p>
      <w:pPr>
        <w:spacing w:line="560" w:lineRule="exact"/>
        <w:jc w:val="center"/>
        <w:rPr>
          <w:rFonts w:ascii="仿宋_GB2312"/>
          <w:bCs/>
          <w:color w:val="auto"/>
        </w:rPr>
      </w:pPr>
    </w:p>
    <w:p>
      <w:pPr>
        <w:spacing w:line="560" w:lineRule="exact"/>
        <w:jc w:val="center"/>
        <w:rPr>
          <w:rFonts w:ascii="仿宋_GB2312"/>
          <w:bCs/>
          <w:color w:val="auto"/>
        </w:rPr>
      </w:pP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0"/>
        <w:gridCol w:w="3020"/>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vAlign w:val="center"/>
          </w:tcPr>
          <w:p>
            <w:pPr>
              <w:spacing w:line="560" w:lineRule="exact"/>
              <w:jc w:val="center"/>
              <w:rPr>
                <w:rFonts w:hint="eastAsia" w:ascii="仿宋_GB2312"/>
                <w:bCs/>
                <w:color w:val="auto"/>
              </w:rPr>
            </w:pPr>
            <w:r>
              <w:rPr>
                <w:rFonts w:hint="eastAsia" w:ascii="仿宋_GB2312"/>
                <w:bCs/>
                <w:color w:val="auto"/>
              </w:rPr>
              <w:t>山东省住房和</w:t>
            </w:r>
          </w:p>
          <w:p>
            <w:pPr>
              <w:spacing w:line="560" w:lineRule="exact"/>
              <w:jc w:val="center"/>
              <w:rPr>
                <w:rFonts w:hint="default" w:ascii="仿宋_GB2312"/>
                <w:bCs/>
                <w:color w:val="auto"/>
                <w:vertAlign w:val="baseline"/>
              </w:rPr>
            </w:pPr>
            <w:r>
              <w:rPr>
                <w:rFonts w:hint="eastAsia" w:ascii="仿宋_GB2312"/>
                <w:bCs/>
                <w:color w:val="auto"/>
              </w:rPr>
              <w:t>城乡建设厅</w:t>
            </w:r>
          </w:p>
        </w:tc>
        <w:tc>
          <w:tcPr>
            <w:tcW w:w="3020" w:type="dxa"/>
            <w:vAlign w:val="center"/>
          </w:tcPr>
          <w:p>
            <w:pPr>
              <w:spacing w:line="560" w:lineRule="exact"/>
              <w:jc w:val="center"/>
              <w:rPr>
                <w:rFonts w:hint="default" w:ascii="仿宋_GB2312"/>
                <w:bCs/>
                <w:color w:val="auto"/>
                <w:vertAlign w:val="baseline"/>
              </w:rPr>
            </w:pPr>
            <w:r>
              <w:rPr>
                <w:rFonts w:hint="eastAsia" w:ascii="仿宋_GB2312"/>
                <w:bCs/>
                <w:color w:val="auto"/>
              </w:rPr>
              <w:t>山东省交通运输厅</w:t>
            </w:r>
          </w:p>
        </w:tc>
        <w:tc>
          <w:tcPr>
            <w:tcW w:w="3020" w:type="dxa"/>
            <w:vAlign w:val="center"/>
          </w:tcPr>
          <w:p>
            <w:pPr>
              <w:spacing w:line="560" w:lineRule="exact"/>
              <w:jc w:val="center"/>
              <w:rPr>
                <w:rFonts w:hint="default" w:ascii="仿宋_GB2312"/>
                <w:bCs/>
                <w:color w:val="auto"/>
                <w:vertAlign w:val="baseline"/>
              </w:rPr>
            </w:pPr>
            <w:r>
              <w:rPr>
                <w:rFonts w:hint="eastAsia" w:ascii="仿宋_GB2312"/>
                <w:bCs/>
                <w:color w:val="auto"/>
              </w:rPr>
              <w:t>山东省水利厅</w:t>
            </w:r>
          </w:p>
        </w:tc>
      </w:tr>
    </w:tbl>
    <w:p>
      <w:pPr>
        <w:spacing w:line="560" w:lineRule="exact"/>
        <w:jc w:val="center"/>
        <w:rPr>
          <w:rFonts w:hint="default" w:ascii="仿宋_GB2312"/>
          <w:bCs/>
          <w:color w:val="auto"/>
        </w:rPr>
      </w:pPr>
    </w:p>
    <w:p>
      <w:pPr>
        <w:spacing w:line="560" w:lineRule="exact"/>
        <w:jc w:val="center"/>
        <w:rPr>
          <w:rFonts w:ascii="仿宋_GB2312"/>
          <w:bCs/>
          <w:color w:val="auto"/>
        </w:rPr>
      </w:pPr>
    </w:p>
    <w:p>
      <w:pPr>
        <w:spacing w:line="560" w:lineRule="exact"/>
        <w:jc w:val="center"/>
        <w:rPr>
          <w:rFonts w:ascii="仿宋_GB2312"/>
          <w:bCs/>
          <w:color w:val="auto"/>
        </w:rPr>
      </w:pP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vAlign w:val="center"/>
          </w:tcPr>
          <w:p>
            <w:pPr>
              <w:spacing w:line="560" w:lineRule="exact"/>
              <w:jc w:val="center"/>
              <w:rPr>
                <w:rFonts w:hint="default" w:ascii="仿宋_GB2312"/>
                <w:bCs/>
                <w:color w:val="auto"/>
                <w:vertAlign w:val="baseline"/>
              </w:rPr>
            </w:pPr>
            <w:r>
              <w:rPr>
                <w:rFonts w:hint="eastAsia" w:ascii="仿宋_GB2312"/>
                <w:bCs/>
                <w:color w:val="auto"/>
              </w:rPr>
              <w:t>中国人民银行济南分行</w:t>
            </w:r>
          </w:p>
        </w:tc>
        <w:tc>
          <w:tcPr>
            <w:tcW w:w="4530" w:type="dxa"/>
            <w:vAlign w:val="center"/>
          </w:tcPr>
          <w:p>
            <w:pPr>
              <w:spacing w:line="560" w:lineRule="exact"/>
              <w:jc w:val="center"/>
              <w:rPr>
                <w:rFonts w:hint="default" w:ascii="仿宋_GB2312"/>
                <w:bCs/>
                <w:color w:val="auto"/>
                <w:vertAlign w:val="baseline"/>
              </w:rPr>
            </w:pPr>
            <w:r>
              <w:rPr>
                <w:rFonts w:hint="eastAsia" w:ascii="仿宋_GB2312"/>
                <w:bCs/>
                <w:color w:val="auto"/>
              </w:rPr>
              <w:t>中国银行保险监督管理委员会山东监管局</w:t>
            </w:r>
          </w:p>
        </w:tc>
      </w:tr>
    </w:tbl>
    <w:p>
      <w:pPr>
        <w:spacing w:line="560" w:lineRule="exact"/>
        <w:jc w:val="center"/>
        <w:rPr>
          <w:rFonts w:ascii="仿宋_GB2312"/>
          <w:bCs/>
          <w:color w:val="auto"/>
        </w:rPr>
      </w:pPr>
    </w:p>
    <w:p>
      <w:pPr>
        <w:spacing w:line="560" w:lineRule="exact"/>
        <w:jc w:val="center"/>
        <w:rPr>
          <w:rFonts w:ascii="仿宋_GB2312"/>
          <w:bCs/>
          <w:color w:val="auto"/>
        </w:rPr>
      </w:pPr>
    </w:p>
    <w:p>
      <w:pPr>
        <w:spacing w:line="560" w:lineRule="exact"/>
        <w:jc w:val="center"/>
        <w:rPr>
          <w:rFonts w:hint="default" w:ascii="仿宋_GB2312"/>
          <w:bCs/>
          <w:color w:val="auto"/>
          <w:vertAlign w:val="baseline"/>
        </w:rPr>
      </w:pP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vAlign w:val="center"/>
          </w:tcPr>
          <w:p>
            <w:pPr>
              <w:spacing w:line="560" w:lineRule="exact"/>
              <w:jc w:val="center"/>
              <w:rPr>
                <w:rFonts w:hint="default" w:ascii="仿宋_GB2312"/>
                <w:bCs/>
                <w:color w:val="auto"/>
                <w:vertAlign w:val="baseline"/>
              </w:rPr>
            </w:pPr>
            <w:r>
              <w:rPr>
                <w:rFonts w:hint="eastAsia" w:ascii="仿宋_GB2312"/>
                <w:bCs/>
                <w:color w:val="auto"/>
              </w:rPr>
              <w:t>中国银行保险监督管理委员会青岛监管局</w:t>
            </w:r>
          </w:p>
        </w:tc>
        <w:tc>
          <w:tcPr>
            <w:tcW w:w="4530" w:type="dxa"/>
            <w:vAlign w:val="center"/>
          </w:tcPr>
          <w:p>
            <w:pPr>
              <w:spacing w:line="560" w:lineRule="exact"/>
              <w:jc w:val="center"/>
              <w:rPr>
                <w:rFonts w:hint="default" w:ascii="仿宋_GB2312"/>
                <w:bCs/>
                <w:color w:val="auto"/>
                <w:vertAlign w:val="baseline"/>
              </w:rPr>
            </w:pPr>
            <w:r>
              <w:rPr>
                <w:rFonts w:hint="eastAsia" w:ascii="仿宋_GB2312"/>
                <w:bCs/>
                <w:color w:val="auto"/>
              </w:rPr>
              <w:t>上海铁路监督管理局</w:t>
            </w:r>
          </w:p>
        </w:tc>
      </w:tr>
    </w:tbl>
    <w:p>
      <w:pPr>
        <w:spacing w:line="560" w:lineRule="exact"/>
        <w:jc w:val="center"/>
        <w:rPr>
          <w:rFonts w:hint="default" w:ascii="仿宋_GB2312"/>
          <w:bCs/>
          <w:color w:val="auto"/>
        </w:rPr>
      </w:pPr>
    </w:p>
    <w:p>
      <w:pPr>
        <w:spacing w:line="560" w:lineRule="exact"/>
        <w:jc w:val="center"/>
        <w:rPr>
          <w:rFonts w:hint="default" w:ascii="仿宋_GB2312"/>
          <w:bCs/>
          <w:color w:val="auto"/>
        </w:rPr>
      </w:pPr>
    </w:p>
    <w:p>
      <w:pPr>
        <w:spacing w:line="560" w:lineRule="exact"/>
        <w:jc w:val="center"/>
        <w:rPr>
          <w:rFonts w:hint="default" w:ascii="仿宋_GB2312"/>
          <w:bCs/>
          <w:color w:val="auto"/>
        </w:rPr>
      </w:pPr>
    </w:p>
    <w:p>
      <w:pPr>
        <w:pStyle w:val="2"/>
        <w:jc w:val="center"/>
        <w:rPr>
          <w:rFonts w:hint="default" w:ascii="仿宋_GB2312"/>
          <w:bCs/>
          <w:color w:val="auto"/>
        </w:rPr>
      </w:pPr>
    </w:p>
    <w:p>
      <w:pPr>
        <w:pStyle w:val="3"/>
        <w:jc w:val="center"/>
        <w:rPr>
          <w:rFonts w:hint="default"/>
          <w:color w:val="auto"/>
        </w:rPr>
      </w:pP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0" w:type="dxa"/>
            <w:vAlign w:val="center"/>
          </w:tcPr>
          <w:p>
            <w:pPr>
              <w:spacing w:line="560" w:lineRule="exact"/>
              <w:jc w:val="center"/>
              <w:rPr>
                <w:rFonts w:hint="eastAsia" w:ascii="仿宋_GB2312"/>
                <w:bCs/>
                <w:color w:val="auto"/>
              </w:rPr>
            </w:pPr>
            <w:r>
              <w:rPr>
                <w:rFonts w:hint="eastAsia" w:ascii="仿宋_GB2312"/>
                <w:bCs/>
                <w:color w:val="auto"/>
              </w:rPr>
              <w:t>黄河水利委员会</w:t>
            </w:r>
          </w:p>
          <w:p>
            <w:pPr>
              <w:spacing w:line="560" w:lineRule="exact"/>
              <w:jc w:val="center"/>
              <w:rPr>
                <w:rFonts w:hint="default" w:ascii="仿宋_GB2312"/>
                <w:bCs/>
                <w:color w:val="auto"/>
                <w:vertAlign w:val="baseline"/>
              </w:rPr>
            </w:pPr>
            <w:r>
              <w:rPr>
                <w:rFonts w:hint="eastAsia" w:ascii="仿宋_GB2312"/>
                <w:bCs/>
                <w:color w:val="auto"/>
              </w:rPr>
              <w:t>山东黄河河务局</w:t>
            </w:r>
          </w:p>
        </w:tc>
        <w:tc>
          <w:tcPr>
            <w:tcW w:w="4530" w:type="dxa"/>
            <w:vAlign w:val="center"/>
          </w:tcPr>
          <w:p>
            <w:pPr>
              <w:spacing w:line="560" w:lineRule="exact"/>
              <w:jc w:val="center"/>
              <w:rPr>
                <w:rFonts w:hint="eastAsia" w:ascii="仿宋_GB2312"/>
                <w:bCs/>
                <w:color w:val="auto"/>
              </w:rPr>
            </w:pPr>
            <w:r>
              <w:rPr>
                <w:rFonts w:hint="eastAsia" w:ascii="仿宋_GB2312"/>
                <w:bCs/>
                <w:color w:val="auto"/>
              </w:rPr>
              <w:t>中国民用航空山东安全</w:t>
            </w:r>
          </w:p>
          <w:p>
            <w:pPr>
              <w:spacing w:line="560" w:lineRule="exact"/>
              <w:jc w:val="center"/>
              <w:rPr>
                <w:rFonts w:hint="default" w:ascii="仿宋_GB2312"/>
                <w:bCs/>
                <w:color w:val="auto"/>
                <w:vertAlign w:val="baseline"/>
              </w:rPr>
            </w:pPr>
            <w:r>
              <w:rPr>
                <w:rFonts w:hint="eastAsia" w:ascii="仿宋_GB2312"/>
                <w:bCs/>
                <w:color w:val="auto"/>
              </w:rPr>
              <w:t>监督管理局</w:t>
            </w:r>
          </w:p>
        </w:tc>
      </w:tr>
    </w:tbl>
    <w:p>
      <w:pPr>
        <w:pStyle w:val="8"/>
        <w:spacing w:beforeAutospacing="0" w:afterAutospacing="0" w:line="560" w:lineRule="exact"/>
        <w:ind w:firstLine="0" w:firstLineChars="0"/>
        <w:jc w:val="both"/>
        <w:rPr>
          <w:rFonts w:ascii="仿宋_GB2312"/>
          <w:bCs/>
          <w:color w:val="auto"/>
          <w:sz w:val="32"/>
        </w:rPr>
      </w:pPr>
      <w:r>
        <w:rPr>
          <w:rFonts w:hint="default" w:ascii="仿宋_GB2312"/>
          <w:bCs/>
          <w:color w:val="auto"/>
          <w:sz w:val="32"/>
        </w:rPr>
        <w:t xml:space="preserve">                                 </w:t>
      </w:r>
      <w:r>
        <w:rPr>
          <w:rFonts w:hint="eastAsia" w:ascii="仿宋_GB2312"/>
          <w:bCs/>
          <w:color w:val="auto"/>
          <w:sz w:val="32"/>
          <w:lang w:val="en-US" w:eastAsia="zh-CN"/>
        </w:rPr>
        <w:t xml:space="preserve"> </w:t>
      </w:r>
      <w:r>
        <w:rPr>
          <w:rFonts w:hint="default" w:ascii="仿宋_GB2312"/>
          <w:bCs/>
          <w:color w:val="auto"/>
          <w:sz w:val="32"/>
        </w:rPr>
        <w:t xml:space="preserve"> </w:t>
      </w:r>
      <w:r>
        <w:rPr>
          <w:rFonts w:hint="eastAsia" w:ascii="仿宋_GB2312"/>
          <w:bCs/>
          <w:color w:val="auto"/>
          <w:sz w:val="32"/>
        </w:rPr>
        <w:t>2023年</w:t>
      </w:r>
      <w:r>
        <w:rPr>
          <w:rFonts w:hint="eastAsia" w:ascii="仿宋_GB2312"/>
          <w:bCs/>
          <w:color w:val="auto"/>
          <w:sz w:val="32"/>
          <w:lang w:val="en-US" w:eastAsia="zh-CN"/>
        </w:rPr>
        <w:t>7</w:t>
      </w:r>
      <w:r>
        <w:rPr>
          <w:rFonts w:hint="eastAsia" w:ascii="仿宋_GB2312"/>
          <w:bCs/>
          <w:color w:val="auto"/>
          <w:sz w:val="32"/>
        </w:rPr>
        <w:t>月</w:t>
      </w:r>
      <w:r>
        <w:rPr>
          <w:rFonts w:hint="eastAsia" w:ascii="仿宋_GB2312"/>
          <w:bCs/>
          <w:color w:val="auto"/>
          <w:sz w:val="32"/>
          <w:lang w:val="en-US" w:eastAsia="zh-CN"/>
        </w:rPr>
        <w:t>4</w:t>
      </w:r>
      <w:r>
        <w:rPr>
          <w:rFonts w:hint="eastAsia" w:ascii="仿宋_GB2312"/>
          <w:bCs/>
          <w:color w:val="auto"/>
          <w:sz w:val="32"/>
        </w:rPr>
        <w:t>日</w:t>
      </w:r>
    </w:p>
    <w:p>
      <w:pPr>
        <w:pStyle w:val="8"/>
        <w:spacing w:beforeAutospacing="0" w:afterAutospacing="0" w:line="560" w:lineRule="exact"/>
        <w:jc w:val="both"/>
        <w:rPr>
          <w:rFonts w:ascii="仿宋_GB2312"/>
          <w:bCs/>
          <w:color w:val="auto"/>
          <w:sz w:val="32"/>
        </w:rPr>
      </w:pPr>
    </w:p>
    <w:p>
      <w:pPr>
        <w:pStyle w:val="8"/>
        <w:spacing w:beforeAutospacing="0" w:afterAutospacing="0" w:line="560" w:lineRule="exact"/>
        <w:jc w:val="both"/>
        <w:rPr>
          <w:rFonts w:ascii="仿宋_GB2312"/>
          <w:bCs/>
          <w:color w:val="auto"/>
          <w:sz w:val="32"/>
        </w:rPr>
      </w:pPr>
      <w:r>
        <w:rPr>
          <w:rFonts w:ascii="仿宋_GB2312"/>
          <w:bCs/>
          <w:color w:val="auto"/>
          <w:sz w:val="32"/>
        </w:rPr>
        <w:t xml:space="preserve">    </w:t>
      </w:r>
      <w:r>
        <w:rPr>
          <w:rFonts w:hint="eastAsia" w:ascii="仿宋_GB2312"/>
          <w:bCs/>
          <w:color w:val="auto"/>
          <w:sz w:val="32"/>
        </w:rPr>
        <w:t>（此件主动公开）</w:t>
      </w:r>
    </w:p>
    <w:p>
      <w:pPr>
        <w:pStyle w:val="8"/>
        <w:spacing w:beforeAutospacing="0" w:afterAutospacing="0" w:line="560" w:lineRule="exact"/>
        <w:ind w:firstLine="632" w:firstLineChars="200"/>
        <w:jc w:val="both"/>
        <w:rPr>
          <w:rFonts w:ascii="仿宋_GB2312"/>
          <w:bCs/>
          <w:color w:val="auto"/>
          <w:sz w:val="32"/>
        </w:rPr>
      </w:pPr>
    </w:p>
    <w:p>
      <w:pPr>
        <w:spacing w:line="560" w:lineRule="exact"/>
        <w:rPr>
          <w:rFonts w:ascii="方正小标宋简体" w:hAnsi="方正小标宋简体" w:eastAsia="方正小标宋简体" w:cs="方正小标宋简体"/>
          <w:color w:val="auto"/>
          <w:sz w:val="44"/>
          <w:szCs w:val="44"/>
        </w:rPr>
      </w:pPr>
    </w:p>
    <w:p>
      <w:pPr>
        <w:widowControl/>
        <w:spacing w:line="560" w:lineRule="exact"/>
        <w:jc w:val="left"/>
        <w:rPr>
          <w:rFonts w:ascii="仿宋_GB2312" w:hAnsi="仿宋_GB2312" w:cs="仿宋_GB2312"/>
          <w:color w:val="auto"/>
        </w:rPr>
      </w:pPr>
      <w:r>
        <w:rPr>
          <w:rFonts w:ascii="仿宋_GB2312" w:hAnsi="仿宋_GB2312" w:cs="仿宋_GB2312"/>
          <w:color w:val="auto"/>
        </w:rPr>
        <w:br w:type="page"/>
      </w:r>
    </w:p>
    <w:p>
      <w:pPr>
        <w:pStyle w:val="2"/>
        <w:spacing w:line="560" w:lineRule="exact"/>
        <w:rPr>
          <w:rFonts w:ascii="仿宋_GB2312" w:hAnsi="仿宋_GB2312" w:cs="仿宋_GB2312"/>
          <w:color w:val="auto"/>
        </w:rPr>
      </w:pPr>
    </w:p>
    <w:p>
      <w:pPr>
        <w:widowControl/>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山东省农民工工资支付监管平台管理办法</w:t>
      </w:r>
    </w:p>
    <w:p>
      <w:pPr>
        <w:widowControl/>
        <w:spacing w:line="560" w:lineRule="exact"/>
        <w:ind w:firstLine="632" w:firstLineChars="200"/>
        <w:rPr>
          <w:rFonts w:ascii="仿宋_GB2312" w:hAnsi="仿宋_GB2312" w:cs="仿宋_GB2312"/>
          <w:color w:val="auto"/>
        </w:rPr>
      </w:pPr>
    </w:p>
    <w:p>
      <w:pPr>
        <w:widowControl/>
        <w:spacing w:line="560" w:lineRule="exact"/>
        <w:jc w:val="center"/>
        <w:rPr>
          <w:rFonts w:ascii="黑体" w:hAnsi="黑体" w:eastAsia="黑体"/>
          <w:color w:val="auto"/>
        </w:rPr>
      </w:pPr>
      <w:r>
        <w:rPr>
          <w:rFonts w:hint="eastAsia" w:ascii="黑体" w:hAnsi="黑体" w:eastAsia="黑体"/>
          <w:color w:val="auto"/>
        </w:rPr>
        <w:t>第一章  总则</w:t>
      </w:r>
    </w:p>
    <w:p>
      <w:pPr>
        <w:widowControl/>
        <w:spacing w:line="560" w:lineRule="exact"/>
        <w:ind w:firstLine="632" w:firstLineChars="200"/>
        <w:rPr>
          <w:rFonts w:ascii="仿宋_GB2312" w:hAnsi="仿宋_GB2312" w:cs="仿宋_GB2312"/>
          <w:color w:val="auto"/>
        </w:rPr>
      </w:pP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 xml:space="preserve">第一条  </w:t>
      </w:r>
      <w:r>
        <w:rPr>
          <w:rFonts w:hint="eastAsia" w:ascii="仿宋_GB2312" w:hAnsi="仿宋_GB2312" w:cs="仿宋_GB2312"/>
          <w:color w:val="auto"/>
        </w:rPr>
        <w:t>为规范山东省农民工工资支付监管平台（以下简称监管平台）管理，提升保障农民工工资支付工作数字化、智慧化水平，推动保障农民工工资支付制度落实，保障农民工按时足额获得工资，根据《保障农民工工资支付条例》《山东省〈保障农民工工资支付条例〉法律责任条款行政执法指引》《山东省工程建设领域农民工工资专用账户管理实施细则》《山东省工程建设领域农民工工资保证金管理实施办法》等有关规定，结合本省实际，制定本办法。</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第二条</w:t>
      </w:r>
      <w:r>
        <w:rPr>
          <w:rFonts w:hint="eastAsia" w:ascii="仿宋_GB2312" w:hAnsi="仿宋_GB2312" w:cs="仿宋_GB2312"/>
          <w:color w:val="auto"/>
        </w:rPr>
        <w:t xml:space="preserve">  本办法适用于山东省行政区域内的房屋建筑、市政、交通运输、水利及基础设施建设的建筑工程、线路管道、设备安装、工程装饰装修、城市园林绿化等各种新建、扩建、改建工程建设项目（以下统称工程建设项目）。</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auto"/>
        </w:rPr>
        <w:t>按规定开立农民工工资专用账户的工程建设项目，应当纳入监管平台管理；免开农民工工资专用账户的工程建设项目，各市可根据实际情况纳入监管平台管理。</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第三条</w:t>
      </w:r>
      <w:r>
        <w:rPr>
          <w:rFonts w:hint="eastAsia" w:ascii="仿宋_GB2312" w:hAnsi="仿宋_GB2312" w:cs="仿宋_GB2312"/>
          <w:color w:val="auto"/>
        </w:rPr>
        <w:t xml:space="preserve">  监管平台依法归集工程款支付担保、实名制、工资专用账户、工资保证金、工资发放等信息，实施工程建设项目农民工工资支付链条全过程动态监管。采用“政府+服务商+金融机构”的模式，由政府部门牵头、技术服务商保障、金融机构提供支持。</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 xml:space="preserve">第四条  </w:t>
      </w:r>
      <w:r>
        <w:rPr>
          <w:rFonts w:hint="eastAsia" w:ascii="仿宋_GB2312" w:hAnsi="仿宋_GB2312" w:cs="仿宋_GB2312"/>
          <w:color w:val="auto"/>
        </w:rPr>
        <w:t>监管平台管理坚持省级统筹、属地管理、分级负责、谁主管谁负责的原则，实行政府部门依法监管与市场主体自我管理相结合。</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第五条</w:t>
      </w:r>
      <w:r>
        <w:rPr>
          <w:rFonts w:hint="eastAsia" w:ascii="仿宋_GB2312" w:hAnsi="仿宋_GB2312" w:cs="仿宋_GB2312"/>
          <w:color w:val="auto"/>
        </w:rPr>
        <w:t xml:space="preserve"> </w:t>
      </w:r>
      <w:r>
        <w:rPr>
          <w:rFonts w:ascii="仿宋_GB2312" w:hAnsi="仿宋_GB2312" w:cs="仿宋_GB2312"/>
          <w:color w:val="auto"/>
        </w:rPr>
        <w:t xml:space="preserve"> </w:t>
      </w:r>
      <w:r>
        <w:rPr>
          <w:rFonts w:hint="eastAsia" w:ascii="仿宋_GB2312" w:hAnsi="仿宋_GB2312" w:cs="仿宋_GB2312"/>
          <w:color w:val="auto"/>
        </w:rPr>
        <w:t>省人力资源社会保障厅会同省住房城乡建设厅、省交通运输厅、省水利厅、人民银行济南分行等有关部门不断丰富监管平台功能，制定全省统一的数据标准并动态更新，推进移动端建设及应用，支持各市个性化、本地化需求。</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第六条</w:t>
      </w:r>
      <w:r>
        <w:rPr>
          <w:rFonts w:hint="eastAsia" w:ascii="仿宋_GB2312" w:hAnsi="仿宋_GB2312" w:cs="仿宋_GB2312"/>
          <w:color w:val="auto"/>
        </w:rPr>
        <w:t xml:space="preserve">  各级各有关部门应当按照网络安全、数据安全、个人信息保护等相关法律法规规定，加强监管平台信息数据安全管理，提高风险防控和应急处置能力，共同做好安全保障工作。</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第七条</w:t>
      </w:r>
      <w:r>
        <w:rPr>
          <w:rFonts w:hint="eastAsia" w:ascii="仿宋_GB2312" w:hAnsi="仿宋_GB2312" w:cs="仿宋_GB2312"/>
          <w:color w:val="auto"/>
        </w:rPr>
        <w:t xml:space="preserve">  使用自建监管系统的地区，应当按照本办法规定实施管理，按照全省统一的数据标准同步做好技术改造等工作，确保各项信息数据全面、准确、完整、及时归集至监管平台，并结合系统升级等时机逐步过渡到监管平台。</w:t>
      </w:r>
    </w:p>
    <w:p>
      <w:pPr>
        <w:widowControl/>
        <w:spacing w:line="560" w:lineRule="exact"/>
        <w:rPr>
          <w:rFonts w:ascii="黑体" w:hAnsi="黑体" w:eastAsia="黑体"/>
          <w:color w:val="auto"/>
        </w:rPr>
      </w:pPr>
    </w:p>
    <w:p>
      <w:pPr>
        <w:widowControl/>
        <w:spacing w:line="560" w:lineRule="exact"/>
        <w:jc w:val="center"/>
        <w:rPr>
          <w:rFonts w:ascii="黑体" w:hAnsi="黑体" w:eastAsia="黑体"/>
          <w:color w:val="auto"/>
        </w:rPr>
      </w:pPr>
      <w:r>
        <w:rPr>
          <w:rFonts w:hint="eastAsia" w:ascii="黑体" w:hAnsi="黑体" w:eastAsia="黑体"/>
          <w:color w:val="auto"/>
        </w:rPr>
        <w:t>第二章  管理职责</w:t>
      </w:r>
    </w:p>
    <w:p>
      <w:pPr>
        <w:widowControl/>
        <w:spacing w:line="560" w:lineRule="exact"/>
        <w:rPr>
          <w:rFonts w:ascii="黑体" w:hAnsi="黑体" w:eastAsia="黑体"/>
          <w:color w:val="auto"/>
        </w:rPr>
      </w:pP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第八条</w:t>
      </w:r>
      <w:r>
        <w:rPr>
          <w:rFonts w:hint="eastAsia" w:ascii="仿宋_GB2312" w:hAnsi="仿宋_GB2312" w:cs="仿宋_GB2312"/>
          <w:color w:val="auto"/>
        </w:rPr>
        <w:t xml:space="preserve">  省人力资源社会保障厅会同省住房城乡建设厅、省交通运输厅、省水利厅、人民银行济南分行等有关部门统筹做好监管平台的建设运行、管理指导、调度督促、安全保障等工作。</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第九条</w:t>
      </w:r>
      <w:r>
        <w:rPr>
          <w:rFonts w:hint="eastAsia" w:ascii="仿宋_GB2312" w:hAnsi="仿宋_GB2312" w:cs="仿宋_GB2312"/>
          <w:color w:val="auto"/>
        </w:rPr>
        <w:t xml:space="preserve">  各市应当明确市、县（市、区）监管平台管理职责分工，各有关部门按照职责做好监管平台管理应用等工作。</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auto"/>
        </w:rPr>
        <w:t>人力资源社会保障部门履行牵头责任，负责监管平台管理应用工作的组织协调，督促做好监管平台农民工工资保证金信息归集及相关预警处置等工作。住房城乡建设、交通运输、水利、铁路、民航等相关行业工程建设主管部门履行行业监管责任，负责监管平台项目建档及信息准确性审核，督促做好工程款支付担保、实名制管理、工资专用账户等信息归集及相关预警处置工作。人民银行、银保监部门负责对银行、保险公司等金融机构的监督指导，督促做好有关金融机构相关业务数据归集等工作。发展改革、财政等部门按照职责做好监管平台管理应用相关工作。</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auto"/>
        </w:rPr>
        <w:t>跨设区的市行政区域的工程建设项目，由省级相关主管部门明确管理责任主体。</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 xml:space="preserve">第十条 </w:t>
      </w:r>
      <w:r>
        <w:rPr>
          <w:rFonts w:hint="eastAsia" w:ascii="仿宋_GB2312" w:hAnsi="仿宋_GB2312" w:cs="仿宋_GB2312"/>
          <w:color w:val="auto"/>
        </w:rPr>
        <w:t xml:space="preserve"> 乡镇人民政府、街道办事处可依托监管平台加强对拖欠农民工工资矛盾的排查和调处工作，防范和化解矛盾，及时调解纠纷。</w:t>
      </w:r>
    </w:p>
    <w:p>
      <w:pPr>
        <w:widowControl/>
        <w:numPr>
          <w:ilvl w:val="255"/>
          <w:numId w:val="0"/>
        </w:numPr>
        <w:spacing w:line="560" w:lineRule="exact"/>
        <w:ind w:firstLine="632" w:firstLineChars="200"/>
        <w:rPr>
          <w:rFonts w:ascii="黑体" w:hAnsi="黑体" w:eastAsia="黑体"/>
          <w:color w:val="auto"/>
        </w:rPr>
      </w:pPr>
      <w:r>
        <w:rPr>
          <w:rFonts w:hint="eastAsia" w:ascii="黑体" w:hAnsi="黑体" w:eastAsia="黑体"/>
          <w:color w:val="000000" w:themeColor="text1"/>
          <w14:textFill>
            <w14:solidFill>
              <w14:schemeClr w14:val="tx1"/>
            </w14:solidFill>
          </w14:textFill>
        </w:rPr>
        <w:t xml:space="preserve">第十一条 </w:t>
      </w:r>
      <w:r>
        <w:rPr>
          <w:rFonts w:ascii="黑体" w:hAnsi="黑体" w:eastAsia="黑体"/>
          <w:color w:val="000000" w:themeColor="text1"/>
          <w14:textFill>
            <w14:solidFill>
              <w14:schemeClr w14:val="tx1"/>
            </w14:solidFill>
          </w14:textFill>
        </w:rPr>
        <w:t xml:space="preserve"> </w:t>
      </w:r>
      <w:r>
        <w:rPr>
          <w:rFonts w:hint="eastAsia" w:ascii="仿宋_GB2312" w:hAnsi="仿宋_GB2312" w:cs="仿宋_GB2312"/>
          <w:color w:val="000000" w:themeColor="text1"/>
          <w14:textFill>
            <w14:solidFill>
              <w14:schemeClr w14:val="tx1"/>
            </w14:solidFill>
          </w14:textFill>
        </w:rPr>
        <w:t>工程建设项目的建设单位、总包单位（包括工程总承包单位、施工总承包企业、直接承包建设单位发包工程的专业承包企业，下同），应当按照本办法规定规范使用监管平台。建设单位应当依托监管平台以工程建设项目为单位督促总包单位加强劳动用工管理。分包单位及其他有关参建单位应当配合建设单位、总包单位做好监管平台应用工作</w:t>
      </w:r>
      <w:r>
        <w:rPr>
          <w:rFonts w:hint="eastAsia" w:ascii="仿宋_GB2312" w:hAnsi="仿宋_GB2312" w:cs="仿宋_GB2312"/>
          <w:color w:val="auto"/>
        </w:rPr>
        <w:t>。</w:t>
      </w:r>
    </w:p>
    <w:p>
      <w:pPr>
        <w:widowControl/>
        <w:spacing w:line="560" w:lineRule="exact"/>
        <w:rPr>
          <w:rFonts w:ascii="黑体" w:hAnsi="黑体" w:eastAsia="黑体"/>
          <w:color w:val="auto"/>
        </w:rPr>
      </w:pPr>
    </w:p>
    <w:p>
      <w:pPr>
        <w:widowControl/>
        <w:spacing w:line="560" w:lineRule="exact"/>
        <w:jc w:val="center"/>
        <w:rPr>
          <w:rFonts w:ascii="黑体" w:hAnsi="黑体" w:eastAsia="黑体"/>
          <w:color w:val="auto"/>
        </w:rPr>
      </w:pPr>
      <w:r>
        <w:rPr>
          <w:rFonts w:hint="eastAsia" w:ascii="黑体" w:hAnsi="黑体" w:eastAsia="黑体"/>
          <w:color w:val="auto"/>
        </w:rPr>
        <w:t>第三章  信息数据归集</w:t>
      </w:r>
    </w:p>
    <w:p>
      <w:pPr>
        <w:widowControl/>
        <w:spacing w:line="560" w:lineRule="exact"/>
        <w:ind w:firstLine="632" w:firstLineChars="200"/>
        <w:rPr>
          <w:rFonts w:ascii="仿宋_GB2312" w:hAnsi="仿宋_GB2312" w:cs="仿宋_GB2312"/>
          <w:color w:val="auto"/>
        </w:rPr>
      </w:pP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第十二条</w:t>
      </w:r>
      <w:r>
        <w:rPr>
          <w:rFonts w:hint="eastAsia" w:ascii="仿宋_GB2312" w:hAnsi="仿宋_GB2312" w:cs="仿宋_GB2312"/>
          <w:color w:val="auto"/>
        </w:rPr>
        <w:t xml:space="preserve">  相关行业工程建设主管部门应当将本领域符合条件的工程建设项目及时纳入监管平台管理，自施工合同签订之日起30日内在监管平台建档，根据施工许可证或施工合同等采集项目名称、工程造价、合同工期、项目类型、建设单位、总包单位等基础信息，据实实时更新项目施工状态信息，并加强对工程建设项目各参建单位的管理。</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auto"/>
        </w:rPr>
        <w:t>总包单位应当自施工合同签订之日起30日内向相关行业工程建设主管部门申请建档，并在项目建档后及时将相关参建单位及管理人员等信息归集至监管平台。</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 xml:space="preserve">第十三条 </w:t>
      </w:r>
      <w:r>
        <w:rPr>
          <w:rFonts w:hint="eastAsia" w:ascii="仿宋_GB2312" w:hAnsi="仿宋_GB2312" w:cs="仿宋_GB2312"/>
          <w:color w:val="auto"/>
        </w:rPr>
        <w:t xml:space="preserve"> 建设单位应当按规定向总包单位提供工程款支付担保，总包单位应当按工程建设项目将工程款支付担保办理、索赔及工程款支付等信息资料归集至监管平台。  </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 xml:space="preserve">第十四条 </w:t>
      </w:r>
      <w:r>
        <w:rPr>
          <w:rFonts w:ascii="黑体" w:hAnsi="黑体" w:eastAsia="黑体"/>
          <w:color w:val="auto"/>
        </w:rPr>
        <w:t xml:space="preserve"> </w:t>
      </w:r>
      <w:r>
        <w:rPr>
          <w:rFonts w:hint="eastAsia" w:ascii="仿宋_GB2312" w:hAnsi="仿宋_GB2312" w:cs="仿宋_GB2312"/>
          <w:color w:val="auto"/>
        </w:rPr>
        <w:t>总包单位等应当建立农民工实名制管理台账，以真实身份信息为基础，采集进入施工现场的全部农民工和项目管理人员的基本信息，准确完整记录农民工工作岗位、劳动合同或用工书面协议签订、考勤、工资支付等从业信息，及时核实、实时更新，并将相关信息即时归集至监管平台。</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000000" w:themeColor="text1"/>
          <w14:textFill>
            <w14:solidFill>
              <w14:schemeClr w14:val="tx1"/>
            </w14:solidFill>
          </w14:textFill>
        </w:rPr>
        <w:t>总包单位等应当设立进出场门禁系统，按规定配备身份信息采集、生物识别考勤等实名制管理所必须的硬件设施设备，对农民工等人员进出场进行生物识别考勤；不具备封闭式管理条件的工程建设项目，应当采用移动定位、电子围栏等技术实施考勤管理。总包单位等应当规范使用实名制管理相关设备，加强电子考勤管理，确保实名制管理各项信息数据真实、完整、及时、准确。相关设备供应商应当按照全省统一的数据标准传输数据，配合总包单位做好相关工作</w:t>
      </w:r>
      <w:r>
        <w:rPr>
          <w:rFonts w:hint="eastAsia" w:ascii="仿宋_GB2312" w:hAnsi="仿宋_GB2312" w:cs="仿宋_GB2312"/>
          <w:color w:val="auto"/>
        </w:rPr>
        <w:t>。</w:t>
      </w:r>
    </w:p>
    <w:p>
      <w:pPr>
        <w:widowControl/>
        <w:numPr>
          <w:ilvl w:val="255"/>
          <w:numId w:val="0"/>
        </w:numPr>
        <w:spacing w:line="560" w:lineRule="exact"/>
        <w:ind w:firstLine="632" w:firstLineChars="200"/>
        <w:rPr>
          <w:rFonts w:ascii="仿宋_GB2312" w:hAnsi="仿宋_GB2312" w:cs="仿宋_GB2312"/>
          <w:color w:val="auto"/>
        </w:rPr>
      </w:pPr>
      <w:r>
        <w:rPr>
          <w:rFonts w:hint="eastAsia" w:ascii="黑体" w:hAnsi="黑体" w:eastAsia="黑体"/>
          <w:color w:val="auto"/>
        </w:rPr>
        <w:t>第十五条</w:t>
      </w:r>
      <w:r>
        <w:rPr>
          <w:rFonts w:hint="eastAsia" w:ascii="仿宋_GB2312" w:hAnsi="仿宋_GB2312" w:cs="仿宋_GB2312"/>
          <w:color w:val="auto"/>
        </w:rPr>
        <w:t xml:space="preserve">  总包单位应当按规定开立、使用、撤销农民工工资专用账户，按照施工合同约定设置人工费用拨付比例及计算方式，通过农民工工资专用账户按时足额发放农民工工资，并将农民工工资专用账户、人工费用拨付、农民工工资发放等信息资料及时归集至监管平台。建设单位应当按照施工合同约定于每月10日前将人工费用足额拨付至总包单位农民工工资专用账户，保障农民工工资按时足额发放。</w:t>
      </w:r>
    </w:p>
    <w:p>
      <w:pPr>
        <w:spacing w:line="560" w:lineRule="exact"/>
        <w:ind w:firstLine="632" w:firstLineChars="200"/>
        <w:rPr>
          <w:rFonts w:ascii="仿宋_GB2312" w:hAnsi="仿宋_GB2312" w:cs="仿宋_GB2312"/>
          <w:color w:val="auto"/>
        </w:rPr>
      </w:pPr>
      <w:r>
        <w:rPr>
          <w:rFonts w:hint="eastAsia" w:ascii="仿宋_GB2312" w:hAnsi="仿宋_GB2312" w:cs="仿宋_GB2312"/>
          <w:color w:val="auto"/>
        </w:rPr>
        <w:t>相关银行应当按规定将农民工工资专用账户开立、使用、撤销及人工费用拨付、农民工工资发放等全量数据及时归集至监管平台。</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第十六条</w:t>
      </w:r>
      <w:r>
        <w:rPr>
          <w:rFonts w:hint="eastAsia" w:ascii="仿宋_GB2312" w:hAnsi="仿宋_GB2312" w:cs="仿宋_GB2312"/>
          <w:color w:val="auto"/>
        </w:rPr>
        <w:t xml:space="preserve">  总包单位应当按规定将农民工工资保证金存储、减免、使用、返还等信息资料及时归集至监管平台。银行、保险公司、</w:t>
      </w:r>
      <w:r>
        <w:rPr>
          <w:rFonts w:hint="eastAsia" w:ascii="仿宋_GB2312" w:hAnsi="仿宋_GB2312" w:cs="仿宋_GB2312"/>
          <w:color w:val="auto"/>
          <w:lang w:val="zh-CN"/>
        </w:rPr>
        <w:t>工程担保公司等</w:t>
      </w:r>
      <w:r>
        <w:rPr>
          <w:rFonts w:hint="eastAsia" w:ascii="仿宋_GB2312" w:hAnsi="仿宋_GB2312" w:cs="仿宋_GB2312"/>
          <w:color w:val="auto"/>
        </w:rPr>
        <w:t>相关机构应当将农民工工资保证金全量数据及时归集至监管平台。</w:t>
      </w:r>
    </w:p>
    <w:p>
      <w:pPr>
        <w:widowControl/>
        <w:spacing w:line="560" w:lineRule="exact"/>
        <w:ind w:firstLine="632" w:firstLineChars="200"/>
        <w:rPr>
          <w:rFonts w:ascii="仿宋_GB2312" w:hAnsi="仿宋_GB2312" w:cs="仿宋_GB2312"/>
          <w:color w:val="auto"/>
          <w:lang w:val="zh-CN"/>
        </w:rPr>
      </w:pPr>
      <w:r>
        <w:rPr>
          <w:rFonts w:hint="eastAsia" w:ascii="黑体" w:hAnsi="黑体" w:eastAsia="黑体"/>
          <w:color w:val="auto"/>
        </w:rPr>
        <w:t>第十七条</w:t>
      </w:r>
      <w:r>
        <w:rPr>
          <w:rFonts w:hint="eastAsia" w:ascii="仿宋_GB2312" w:hAnsi="仿宋_GB2312" w:cs="仿宋_GB2312"/>
          <w:color w:val="auto"/>
        </w:rPr>
        <w:t xml:space="preserve">  </w:t>
      </w:r>
      <w:r>
        <w:rPr>
          <w:rFonts w:hint="eastAsia" w:ascii="仿宋_GB2312" w:hAnsi="仿宋_GB2312" w:cs="仿宋_GB2312"/>
          <w:color w:val="auto"/>
          <w:lang w:val="zh-CN"/>
        </w:rPr>
        <w:t>各相关部门应当按照职责对归集至监管平台各类信息数据的及时性、完整性、真实性、准确性进行审查核实，发现问题及时督促整改。</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第十八条</w:t>
      </w:r>
      <w:r>
        <w:rPr>
          <w:rFonts w:hint="eastAsia" w:ascii="仿宋_GB2312" w:hAnsi="仿宋_GB2312" w:cs="仿宋_GB2312"/>
          <w:color w:val="auto"/>
        </w:rPr>
        <w:t xml:space="preserve">  监管平台逐步与全国农民工工资支付监控预警平台、全国建筑工人管理服务信息平台、“互联网+监管”系统、投资项目在线审批监管、信用信息共享、水利建设市场监管、铁路工程监督管理等信息平台对接，实现数据信息比对、分析预警等功能。</w:t>
      </w:r>
    </w:p>
    <w:p>
      <w:pPr>
        <w:spacing w:line="560" w:lineRule="exact"/>
        <w:ind w:firstLine="632" w:firstLineChars="200"/>
        <w:jc w:val="center"/>
        <w:rPr>
          <w:rFonts w:ascii="仿宋_GB2312" w:hAnsi="仿宋_GB2312" w:cs="仿宋_GB2312"/>
          <w:color w:val="auto"/>
        </w:rPr>
      </w:pPr>
    </w:p>
    <w:p>
      <w:pPr>
        <w:widowControl/>
        <w:spacing w:line="560" w:lineRule="exact"/>
        <w:jc w:val="center"/>
        <w:rPr>
          <w:rFonts w:ascii="黑体" w:hAnsi="黑体" w:eastAsia="黑体"/>
          <w:color w:val="auto"/>
        </w:rPr>
      </w:pPr>
      <w:r>
        <w:rPr>
          <w:rFonts w:hint="eastAsia" w:ascii="黑体" w:hAnsi="黑体" w:eastAsia="黑体"/>
          <w:color w:val="auto"/>
        </w:rPr>
        <w:t>第四章  预警管理</w:t>
      </w:r>
    </w:p>
    <w:p>
      <w:pPr>
        <w:widowControl/>
        <w:spacing w:line="560" w:lineRule="exact"/>
        <w:ind w:firstLine="632" w:firstLineChars="200"/>
        <w:rPr>
          <w:rFonts w:ascii="仿宋_GB2312" w:hAnsi="仿宋_GB2312" w:cs="仿宋_GB2312"/>
          <w:color w:val="auto"/>
        </w:rPr>
      </w:pPr>
    </w:p>
    <w:p>
      <w:pPr>
        <w:widowControl/>
        <w:numPr>
          <w:ilvl w:val="255"/>
          <w:numId w:val="0"/>
        </w:numPr>
        <w:spacing w:line="560" w:lineRule="exact"/>
        <w:ind w:firstLine="632" w:firstLineChars="200"/>
        <w:rPr>
          <w:rFonts w:ascii="仿宋_GB2312" w:hAnsi="仿宋_GB2312" w:cs="仿宋_GB2312"/>
          <w:color w:val="auto"/>
        </w:rPr>
      </w:pPr>
      <w:r>
        <w:rPr>
          <w:rFonts w:hint="eastAsia" w:ascii="黑体" w:hAnsi="黑体" w:eastAsia="黑体"/>
          <w:color w:val="auto"/>
        </w:rPr>
        <w:t>第十九条</w:t>
      </w:r>
      <w:r>
        <w:rPr>
          <w:rFonts w:hint="eastAsia" w:ascii="仿宋_GB2312" w:hAnsi="仿宋_GB2312" w:cs="仿宋_GB2312"/>
          <w:color w:val="auto"/>
        </w:rPr>
        <w:t xml:space="preserve">  监管平台对工程款支付担保、农民工实名制、工资专用账户、工资保证金等制度落实情况实施监测并及时预警，设置预警类别，根据风险程度划分预警等级，实行分级分类管理。</w:t>
      </w:r>
    </w:p>
    <w:p>
      <w:pPr>
        <w:widowControl/>
        <w:numPr>
          <w:ilvl w:val="255"/>
          <w:numId w:val="0"/>
        </w:numPr>
        <w:spacing w:line="560" w:lineRule="exact"/>
        <w:ind w:firstLine="632" w:firstLineChars="200"/>
        <w:rPr>
          <w:rFonts w:ascii="仿宋_GB2312" w:hAnsi="仿宋_GB2312" w:cs="仿宋_GB2312"/>
          <w:color w:val="auto"/>
        </w:rPr>
      </w:pPr>
      <w:r>
        <w:rPr>
          <w:rFonts w:hint="eastAsia" w:ascii="仿宋_GB2312" w:hAnsi="仿宋_GB2312" w:cs="仿宋_GB2312"/>
          <w:color w:val="auto"/>
        </w:rPr>
        <w:t>省人力资源社会保障厅会同省住房城乡建设厅、省交通运输厅、省水利厅、人民银行济南分行等有关部门逐步健全完善预警分级分类管理制度，拓宽监测预警渠道，运用大数据等技术不断提升监管效能。</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第二十条</w:t>
      </w:r>
      <w:r>
        <w:rPr>
          <w:rFonts w:hint="eastAsia" w:ascii="仿宋_GB2312" w:hAnsi="仿宋_GB2312" w:cs="仿宋_GB2312"/>
          <w:color w:val="auto"/>
        </w:rPr>
        <w:t xml:space="preserve">  工程建设项目各参建单位应当按照各自责任和时限要求处置化解预警信息，分析产生预警的原因，采取有效措施，预防和减少预警信息产生。</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第二十一条</w:t>
      </w:r>
      <w:r>
        <w:rPr>
          <w:rFonts w:hint="eastAsia" w:ascii="仿宋_GB2312" w:hAnsi="仿宋_GB2312" w:cs="仿宋_GB2312"/>
          <w:color w:val="auto"/>
        </w:rPr>
        <w:t xml:space="preserve">  各级各有关部门应当按照职责监督指导建设单位、总包单位及其他相关单位及时处置预警信息，对处置不及时、不到位的予以督促整改，实现预警信息动态清零，预防和减少有关违法违规行为的发生。</w:t>
      </w:r>
    </w:p>
    <w:p>
      <w:pPr>
        <w:spacing w:line="560" w:lineRule="exact"/>
        <w:ind w:firstLine="632" w:firstLineChars="200"/>
        <w:rPr>
          <w:rFonts w:ascii="仿宋_GB2312" w:hAnsi="仿宋_GB2312" w:cs="仿宋_GB2312"/>
          <w:color w:val="auto"/>
        </w:rPr>
      </w:pPr>
      <w:r>
        <w:rPr>
          <w:rFonts w:hint="eastAsia" w:ascii="仿宋_GB2312" w:hAnsi="仿宋_GB2312" w:cs="仿宋_GB2312"/>
          <w:color w:val="auto"/>
        </w:rPr>
        <w:t>预警信息经核实存在违法违规行为的，人力资源社会保障部门、相关行业工程建设主管部门、人民银行及其分支机构、银保监局及其派出机构等应当按照《山东省〈保障农民工工资支付条例〉法律责任条款行政执法指引》明确的职责，依法依规对相关责任单位予以处理处罚，并按规定纳入相关信用评价体系。</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第二十二条</w:t>
      </w:r>
      <w:r>
        <w:rPr>
          <w:rFonts w:hint="eastAsia" w:ascii="仿宋_GB2312" w:hAnsi="仿宋_GB2312" w:cs="仿宋_GB2312"/>
          <w:color w:val="auto"/>
        </w:rPr>
        <w:t xml:space="preserve">  各级各有关部门可依法依规将相关违法违规信息通过监管平台发布，方便相关主体查询。</w:t>
      </w:r>
    </w:p>
    <w:p>
      <w:pPr>
        <w:widowControl/>
        <w:spacing w:line="560" w:lineRule="exact"/>
        <w:rPr>
          <w:rFonts w:ascii="黑体" w:hAnsi="黑体" w:eastAsia="黑体"/>
          <w:color w:val="auto"/>
        </w:rPr>
      </w:pPr>
    </w:p>
    <w:p>
      <w:pPr>
        <w:widowControl/>
        <w:spacing w:line="560" w:lineRule="exact"/>
        <w:jc w:val="center"/>
        <w:rPr>
          <w:rFonts w:ascii="黑体" w:hAnsi="黑体" w:eastAsia="黑体"/>
          <w:color w:val="auto"/>
        </w:rPr>
      </w:pPr>
      <w:r>
        <w:rPr>
          <w:rFonts w:hint="eastAsia" w:ascii="黑体" w:hAnsi="黑体" w:eastAsia="黑体"/>
          <w:color w:val="auto"/>
        </w:rPr>
        <w:t>第五章  监督管理</w:t>
      </w:r>
    </w:p>
    <w:p>
      <w:pPr>
        <w:widowControl/>
        <w:spacing w:line="560" w:lineRule="exact"/>
        <w:ind w:firstLine="632" w:firstLineChars="200"/>
        <w:rPr>
          <w:rFonts w:ascii="黑体" w:hAnsi="黑体" w:eastAsia="黑体"/>
          <w:color w:val="auto"/>
        </w:rPr>
      </w:pPr>
    </w:p>
    <w:p>
      <w:pPr>
        <w:widowControl/>
        <w:spacing w:line="560" w:lineRule="exact"/>
        <w:ind w:firstLine="632" w:firstLineChars="200"/>
        <w:rPr>
          <w:rFonts w:ascii="黑体" w:hAnsi="黑体" w:eastAsia="黑体"/>
          <w:color w:val="auto"/>
        </w:rPr>
      </w:pPr>
      <w:r>
        <w:rPr>
          <w:rFonts w:hint="eastAsia" w:ascii="黑体" w:hAnsi="黑体" w:eastAsia="黑体"/>
          <w:color w:val="auto"/>
        </w:rPr>
        <w:t xml:space="preserve">第二十三条  </w:t>
      </w:r>
      <w:r>
        <w:rPr>
          <w:rFonts w:hint="eastAsia" w:ascii="仿宋_GB2312" w:hAnsi="仿宋_GB2312" w:cs="仿宋_GB2312"/>
          <w:color w:val="auto"/>
        </w:rPr>
        <w:t>各级各有关部门应当按照职责依托监管平台对工程建设项目保障农民工工资支付制度落实情况实施全过程监管，并对下级进行监督指导。</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第二十四条</w:t>
      </w:r>
      <w:r>
        <w:rPr>
          <w:rFonts w:hint="eastAsia" w:ascii="仿宋_GB2312" w:hAnsi="仿宋_GB2312" w:cs="仿宋_GB2312"/>
          <w:color w:val="auto"/>
        </w:rPr>
        <w:t xml:space="preserve">  各级人力资源社会保障、发展改革、财政、住房城乡建设、交通运输、水利、行政审批等部门应当及时共享工程建设项目审批、资金落实、施工许可、劳动用工、工资支付等信息，开展多部门协同监管。</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第二十五条</w:t>
      </w:r>
      <w:r>
        <w:rPr>
          <w:rFonts w:hint="eastAsia" w:ascii="仿宋_GB2312" w:hAnsi="仿宋_GB2312" w:cs="仿宋_GB2312"/>
          <w:color w:val="auto"/>
        </w:rPr>
        <w:t xml:space="preserve">  各级各有关部门应当将监管平台应用及预警处置等工作与日常监督检查、“双随机、一公开”监管、专项检查、欠薪案件线索查处等相结合，发现问题及时督促整改，提升监管平台综合效能。</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第二十六条</w:t>
      </w:r>
      <w:r>
        <w:rPr>
          <w:rFonts w:hint="eastAsia" w:ascii="仿宋_GB2312" w:hAnsi="仿宋_GB2312" w:cs="仿宋_GB2312"/>
          <w:color w:val="auto"/>
        </w:rPr>
        <w:t xml:space="preserve">  各级各有关部门应当建立健全联动工作机制，加强日常调度和分析研判，定期通报监管平台管理应用情况，及时研究解决工作中的困难问题。</w:t>
      </w:r>
    </w:p>
    <w:p>
      <w:pPr>
        <w:spacing w:line="560" w:lineRule="exact"/>
        <w:ind w:firstLine="632" w:firstLineChars="200"/>
        <w:rPr>
          <w:rFonts w:ascii="仿宋_GB2312" w:hAnsi="仿宋_GB2312" w:cs="仿宋_GB2312"/>
          <w:color w:val="auto"/>
        </w:rPr>
      </w:pPr>
      <w:r>
        <w:rPr>
          <w:rFonts w:hint="eastAsia" w:ascii="黑体" w:hAnsi="黑体" w:eastAsia="黑体"/>
          <w:color w:val="auto"/>
        </w:rPr>
        <w:t>第二十七条</w:t>
      </w:r>
      <w:r>
        <w:rPr>
          <w:rFonts w:hint="eastAsia" w:ascii="仿宋_GB2312" w:hAnsi="仿宋_GB2312" w:cs="仿宋_GB2312"/>
          <w:color w:val="auto"/>
        </w:rPr>
        <w:t xml:space="preserve">  各级各有关部门应当制定年度培训计划，及时对工程建设项目负责人、劳资专管员及相关部门工作人员等开展分级分类培训，提升监管平台应用水平。</w:t>
      </w:r>
    </w:p>
    <w:p>
      <w:pPr>
        <w:spacing w:line="560" w:lineRule="exact"/>
        <w:ind w:firstLine="632" w:firstLineChars="200"/>
        <w:rPr>
          <w:rFonts w:ascii="仿宋_GB2312" w:hAnsi="仿宋_GB2312" w:cs="仿宋_GB2312"/>
          <w:color w:val="auto"/>
        </w:rPr>
      </w:pPr>
      <w:r>
        <w:rPr>
          <w:rFonts w:hint="eastAsia" w:ascii="黑体" w:hAnsi="黑体" w:eastAsia="黑体"/>
          <w:color w:val="auto"/>
        </w:rPr>
        <w:t>第二十八条</w:t>
      </w:r>
      <w:r>
        <w:rPr>
          <w:rFonts w:hint="eastAsia" w:ascii="仿宋_GB2312" w:hAnsi="仿宋_GB2312" w:cs="仿宋_GB2312"/>
          <w:color w:val="auto"/>
        </w:rPr>
        <w:t xml:space="preserve">  省人力资源社会保障厅、省住房城乡建设厅、省交通运输厅、省水利厅等部门应当加强对监管平台技术服务商的日常管理和监督指导。</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auto"/>
        </w:rPr>
        <w:t>监管平台技术服务商应当依法依规采取技术措施和其他必要措施，保障监管平台稳定运行和网络数据安全，维护网络数据的完整性、保密性和可用性。</w:t>
      </w:r>
    </w:p>
    <w:p>
      <w:pPr>
        <w:widowControl/>
        <w:spacing w:line="560" w:lineRule="exact"/>
        <w:ind w:firstLine="632" w:firstLineChars="200"/>
        <w:rPr>
          <w:rFonts w:ascii="仿宋_GB2312" w:hAnsi="仿宋_GB2312" w:cs="仿宋_GB2312"/>
          <w:color w:val="auto"/>
        </w:rPr>
      </w:pPr>
      <w:r>
        <w:rPr>
          <w:rFonts w:hint="eastAsia" w:ascii="仿宋_GB2312" w:hAnsi="仿宋_GB2312" w:cs="仿宋_GB2312"/>
          <w:color w:val="auto"/>
        </w:rPr>
        <w:t>监管平台技术服务商及相关主体应当依法依规收集、使用相关数据，不得擅自留存、使用、泄露或者向他人提供信息数据。</w:t>
      </w:r>
    </w:p>
    <w:p>
      <w:pPr>
        <w:widowControl/>
        <w:spacing w:line="560" w:lineRule="exact"/>
        <w:ind w:firstLine="632" w:firstLineChars="200"/>
        <w:rPr>
          <w:rFonts w:ascii="仿宋_GB2312" w:hAnsi="仿宋_GB2312" w:cs="仿宋_GB2312"/>
          <w:color w:val="auto"/>
        </w:rPr>
      </w:pPr>
    </w:p>
    <w:p>
      <w:pPr>
        <w:widowControl/>
        <w:spacing w:line="560" w:lineRule="exact"/>
        <w:jc w:val="center"/>
        <w:rPr>
          <w:rFonts w:ascii="黑体" w:hAnsi="黑体" w:eastAsia="黑体"/>
          <w:color w:val="auto"/>
        </w:rPr>
      </w:pPr>
      <w:r>
        <w:rPr>
          <w:rFonts w:hint="eastAsia" w:ascii="黑体" w:hAnsi="黑体" w:eastAsia="黑体"/>
          <w:color w:val="auto"/>
        </w:rPr>
        <w:t>第六章  责任追究</w:t>
      </w:r>
    </w:p>
    <w:p>
      <w:pPr>
        <w:widowControl/>
        <w:spacing w:line="560" w:lineRule="exact"/>
        <w:ind w:firstLine="632" w:firstLineChars="200"/>
        <w:rPr>
          <w:rFonts w:ascii="仿宋_GB2312" w:hAnsi="仿宋_GB2312" w:cs="仿宋_GB2312"/>
          <w:color w:val="auto"/>
        </w:rPr>
      </w:pP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第二十九条</w:t>
      </w:r>
      <w:r>
        <w:rPr>
          <w:rFonts w:hint="eastAsia" w:ascii="仿宋_GB2312" w:hAnsi="仿宋_GB2312" w:cs="仿宋_GB2312"/>
          <w:color w:val="auto"/>
        </w:rPr>
        <w:t xml:space="preserve">  相关行业工程建设主管部门未按本办法规定建档或建档基础信息不准确的，由上一级主管部门督促整改；造成不良影响的，由上一级主管部门依据有关规定追究相关部门及人员责任。</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第三十条</w:t>
      </w:r>
      <w:r>
        <w:rPr>
          <w:rFonts w:hint="eastAsia" w:ascii="仿宋_GB2312" w:hAnsi="仿宋_GB2312" w:cs="仿宋_GB2312"/>
          <w:color w:val="auto"/>
        </w:rPr>
        <w:t xml:space="preserve">  相关银行、保险公司等金融机构在监管平台应用中存在违法违规行为的，人民银行及其分支机构、银保监局及其派出机构应当依法依规采取监管措施。</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 xml:space="preserve">第三十一条  </w:t>
      </w:r>
      <w:r>
        <w:rPr>
          <w:rFonts w:hint="eastAsia" w:ascii="仿宋_GB2312" w:hAnsi="仿宋_GB2312" w:cs="仿宋_GB2312"/>
          <w:color w:val="auto"/>
        </w:rPr>
        <w:t xml:space="preserve">建设单位、总包单位、分包单位、相关机构及其他有关单位违反本办法规定，相关部门应当督促其及时整改；导致拖欠农民工工资造成不良影响的，除依法依规予以行政处理处罚外，依据有关规定追究相关单位及人员责任。 </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第三十二条</w:t>
      </w:r>
      <w:r>
        <w:rPr>
          <w:rFonts w:hint="eastAsia" w:ascii="仿宋_GB2312" w:hAnsi="仿宋_GB2312" w:cs="仿宋_GB2312"/>
          <w:color w:val="auto"/>
        </w:rPr>
        <w:t xml:space="preserve">  对违反本办法规定造成不良影响的相关部门及工作人员，按照有关规定进行约谈问责。</w:t>
      </w: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第三十三条</w:t>
      </w:r>
      <w:r>
        <w:rPr>
          <w:rFonts w:hint="eastAsia" w:ascii="仿宋_GB2312" w:hAnsi="仿宋_GB2312" w:cs="仿宋_GB2312"/>
          <w:color w:val="auto"/>
        </w:rPr>
        <w:t xml:space="preserve">  监管平台相关主体违反网络安全、数据安全、个人信息保护等相关法律法规规定的，由有关部门依法依规予以处理。构成犯罪的，</w:t>
      </w:r>
      <w:r>
        <w:rPr>
          <w:rFonts w:hint="eastAsia"/>
          <w:color w:val="auto"/>
        </w:rPr>
        <w:t>依法追究刑事责任。</w:t>
      </w:r>
    </w:p>
    <w:p>
      <w:pPr>
        <w:widowControl/>
        <w:spacing w:line="560" w:lineRule="exact"/>
        <w:ind w:firstLine="632" w:firstLineChars="200"/>
        <w:rPr>
          <w:rFonts w:ascii="仿宋_GB2312" w:hAnsi="仿宋_GB2312" w:cs="仿宋_GB2312"/>
          <w:color w:val="auto"/>
        </w:rPr>
      </w:pPr>
    </w:p>
    <w:p>
      <w:pPr>
        <w:widowControl/>
        <w:numPr>
          <w:ilvl w:val="255"/>
          <w:numId w:val="0"/>
        </w:numPr>
        <w:spacing w:line="560" w:lineRule="exact"/>
        <w:jc w:val="center"/>
        <w:rPr>
          <w:rFonts w:ascii="黑体" w:hAnsi="黑体" w:eastAsia="黑体"/>
          <w:color w:val="auto"/>
        </w:rPr>
      </w:pPr>
      <w:r>
        <w:rPr>
          <w:rFonts w:hint="eastAsia" w:ascii="黑体" w:hAnsi="黑体" w:eastAsia="黑体"/>
          <w:color w:val="auto"/>
        </w:rPr>
        <w:t>第七章  附则</w:t>
      </w:r>
    </w:p>
    <w:p>
      <w:pPr>
        <w:widowControl/>
        <w:numPr>
          <w:ilvl w:val="255"/>
          <w:numId w:val="0"/>
        </w:numPr>
        <w:spacing w:line="560" w:lineRule="exact"/>
        <w:ind w:firstLine="632" w:firstLineChars="200"/>
        <w:rPr>
          <w:rFonts w:ascii="仿宋_GB2312" w:hAnsi="仿宋_GB2312" w:cs="仿宋_GB2312"/>
          <w:color w:val="auto"/>
        </w:rPr>
      </w:pPr>
    </w:p>
    <w:p>
      <w:pPr>
        <w:widowControl/>
        <w:spacing w:line="560" w:lineRule="exact"/>
        <w:ind w:firstLine="632" w:firstLineChars="200"/>
        <w:rPr>
          <w:rFonts w:ascii="仿宋_GB2312" w:hAnsi="仿宋_GB2312" w:cs="仿宋_GB2312"/>
          <w:color w:val="auto"/>
        </w:rPr>
      </w:pPr>
      <w:r>
        <w:rPr>
          <w:rFonts w:hint="eastAsia" w:ascii="黑体" w:hAnsi="黑体" w:eastAsia="黑体"/>
          <w:color w:val="auto"/>
        </w:rPr>
        <w:t>第三十四条</w:t>
      </w:r>
      <w:r>
        <w:rPr>
          <w:rFonts w:hint="eastAsia" w:ascii="仿宋_GB2312" w:hAnsi="仿宋_GB2312" w:cs="仿宋_GB2312"/>
          <w:color w:val="auto"/>
        </w:rPr>
        <w:t xml:space="preserve">  各</w:t>
      </w:r>
      <w:r>
        <w:rPr>
          <w:rFonts w:hint="eastAsia" w:ascii="仿宋_GB2312" w:cs="宋体"/>
          <w:color w:val="auto"/>
        </w:rPr>
        <w:t>设区的市</w:t>
      </w:r>
      <w:r>
        <w:rPr>
          <w:rFonts w:hint="eastAsia" w:ascii="仿宋_GB2312" w:hAnsi="仿宋_GB2312" w:cs="仿宋_GB2312"/>
          <w:color w:val="auto"/>
        </w:rPr>
        <w:t>可根据本办法制定具体实施办法。</w:t>
      </w:r>
    </w:p>
    <w:p>
      <w:pPr>
        <w:spacing w:line="560" w:lineRule="exact"/>
        <w:ind w:firstLine="632" w:firstLineChars="200"/>
        <w:rPr>
          <w:rFonts w:ascii="仿宋_GB2312" w:hAnsi="仿宋_GB2312" w:cs="仿宋_GB2312"/>
          <w:color w:val="auto"/>
        </w:rPr>
      </w:pPr>
      <w:r>
        <w:rPr>
          <w:rFonts w:hint="eastAsia" w:ascii="黑体" w:hAnsi="黑体" w:eastAsia="黑体"/>
          <w:color w:val="auto"/>
        </w:rPr>
        <w:t>第三十五条</w:t>
      </w:r>
      <w:r>
        <w:rPr>
          <w:rFonts w:hint="eastAsia" w:ascii="仿宋_GB2312" w:hAnsi="仿宋_GB2312" w:cs="仿宋_GB2312"/>
          <w:color w:val="auto"/>
        </w:rPr>
        <w:t xml:space="preserve">  本办法自2023年</w:t>
      </w:r>
      <w:r>
        <w:rPr>
          <w:rFonts w:hint="eastAsia" w:ascii="仿宋_GB2312" w:hAnsi="仿宋_GB2312" w:cs="仿宋_GB2312"/>
          <w:color w:val="auto"/>
          <w:lang w:val="en-US" w:eastAsia="zh-CN"/>
        </w:rPr>
        <w:t>8</w:t>
      </w:r>
      <w:r>
        <w:rPr>
          <w:rFonts w:hint="eastAsia" w:ascii="仿宋_GB2312" w:hAnsi="仿宋_GB2312" w:cs="仿宋_GB2312"/>
          <w:color w:val="auto"/>
        </w:rPr>
        <w:t>月</w:t>
      </w:r>
      <w:r>
        <w:rPr>
          <w:rFonts w:hint="eastAsia" w:ascii="仿宋_GB2312" w:hAnsi="仿宋_GB2312" w:cs="仿宋_GB2312"/>
          <w:color w:val="auto"/>
          <w:lang w:val="en-US" w:eastAsia="zh-CN"/>
        </w:rPr>
        <w:t>15</w:t>
      </w:r>
      <w:r>
        <w:rPr>
          <w:rFonts w:hint="eastAsia" w:ascii="仿宋_GB2312" w:hAnsi="仿宋_GB2312" w:cs="仿宋_GB2312"/>
          <w:color w:val="auto"/>
        </w:rPr>
        <w:t>日起施行，有效期至</w:t>
      </w:r>
      <w:r>
        <w:rPr>
          <w:rFonts w:hint="eastAsia" w:ascii="仿宋_GB2312" w:hAnsi="仿宋_GB2312" w:cs="仿宋_GB2312"/>
          <w:color w:val="auto"/>
          <w:lang w:val="en-US" w:eastAsia="zh-CN"/>
        </w:rPr>
        <w:t>2028</w:t>
      </w:r>
      <w:r>
        <w:rPr>
          <w:rFonts w:hint="eastAsia" w:ascii="仿宋_GB2312" w:hAnsi="仿宋_GB2312" w:cs="仿宋_GB2312"/>
          <w:color w:val="auto"/>
        </w:rPr>
        <w:t>年</w:t>
      </w:r>
      <w:r>
        <w:rPr>
          <w:rFonts w:hint="eastAsia" w:ascii="仿宋_GB2312" w:hAnsi="仿宋_GB2312" w:cs="仿宋_GB2312"/>
          <w:color w:val="auto"/>
          <w:lang w:val="en-US" w:eastAsia="zh-CN"/>
        </w:rPr>
        <w:t>8</w:t>
      </w:r>
      <w:r>
        <w:rPr>
          <w:rFonts w:hint="eastAsia" w:ascii="仿宋_GB2312" w:hAnsi="仿宋_GB2312" w:cs="仿宋_GB2312"/>
          <w:color w:val="auto"/>
        </w:rPr>
        <w:t>月</w:t>
      </w:r>
      <w:r>
        <w:rPr>
          <w:rFonts w:hint="eastAsia" w:ascii="仿宋_GB2312" w:hAnsi="仿宋_GB2312" w:cs="仿宋_GB2312"/>
          <w:color w:val="auto"/>
          <w:lang w:val="en-US" w:eastAsia="zh-CN"/>
        </w:rPr>
        <w:t>14</w:t>
      </w:r>
      <w:r>
        <w:rPr>
          <w:rFonts w:hint="eastAsia" w:ascii="仿宋_GB2312" w:hAnsi="仿宋_GB2312" w:cs="仿宋_GB2312"/>
          <w:color w:val="auto"/>
        </w:rPr>
        <w:t>日。《山东省人力资源和社会保障厅等15部门关于印发山东省农民工工资支付监管平台管理办法的通知》（鲁人社规〔2019〕9号）同时废止。</w:t>
      </w:r>
    </w:p>
    <w:p>
      <w:pPr>
        <w:spacing w:line="560" w:lineRule="exact"/>
        <w:ind w:firstLine="632" w:firstLineChars="200"/>
        <w:rPr>
          <w:rFonts w:ascii="仿宋_GB2312" w:hAnsi="仿宋_GB2312" w:cs="仿宋_GB2312"/>
          <w:color w:val="auto"/>
        </w:rPr>
      </w:pPr>
    </w:p>
    <w:p>
      <w:pPr>
        <w:pStyle w:val="2"/>
        <w:spacing w:line="560" w:lineRule="exact"/>
        <w:rPr>
          <w:rFonts w:ascii="仿宋_GB2312" w:hAnsi="仿宋_GB2312" w:cs="仿宋_GB2312"/>
          <w:color w:val="auto"/>
        </w:rPr>
      </w:pPr>
    </w:p>
    <w:p>
      <w:pPr>
        <w:pStyle w:val="3"/>
      </w:pPr>
    </w:p>
    <w:p>
      <w:pPr>
        <w:pStyle w:val="3"/>
      </w:pPr>
    </w:p>
    <w:p>
      <w:pPr>
        <w:pStyle w:val="3"/>
      </w:pPr>
    </w:p>
    <w:p>
      <w:pPr>
        <w:pStyle w:val="3"/>
      </w:pPr>
    </w:p>
    <w:p>
      <w:pPr>
        <w:rPr>
          <w:rFonts w:hint="eastAsia" w:ascii="仿宋_GB2312" w:eastAsia="仿宋_GB2312"/>
          <w:color w:val="auto"/>
          <w:sz w:val="28"/>
          <w:szCs w:val="28"/>
        </w:rPr>
      </w:pPr>
    </w:p>
    <w:p>
      <w:pPr>
        <w:ind w:firstLine="276" w:firstLineChars="100"/>
        <w:rPr>
          <w:rFonts w:hint="eastAsia" w:ascii="仿宋_GB2312" w:eastAsia="仿宋_GB2312"/>
          <w:color w:val="auto"/>
          <w:spacing w:val="0"/>
          <w:sz w:val="28"/>
          <w:szCs w:val="28"/>
        </w:rPr>
      </w:pPr>
      <w:r>
        <w:rPr>
          <w:rFonts w:hint="eastAsia" w:ascii="仿宋_GB2312" w:eastAsia="仿宋_GB2312"/>
          <w:color w:val="auto"/>
          <w:spacing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7620</wp:posOffset>
                </wp:positionV>
                <wp:extent cx="5615940" cy="0"/>
                <wp:effectExtent l="0" t="0" r="0" b="0"/>
                <wp:wrapNone/>
                <wp:docPr id="5" name="直线 2"/>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6pt;height:0pt;width:442.2pt;z-index:251662336;mso-width-relative:page;mso-height-relative:page;" filled="f" stroked="t" coordsize="21600,21600" o:gfxdata="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i4QV/TAAAA&#10;BAEAAA8AAAAAAAAAAQAgAAAAIgAAAGRycy9kb3ducmV2LnhtbFBLAQIUABQAAAAIAIdO4kBnYbpr&#10;6QEAANwDAAAOAAAAAAAAAAEAIAAAACIBAABkcnMvZTJvRG9jLnhtbFBLBQYAAAAABgAGAFkBAAB9&#10;BQAAAAA=&#10;">
                <v:fill on="f" focussize="0,0"/>
                <v:stroke weight="1.25pt" color="#000000" joinstyle="round"/>
                <v:imagedata o:title=""/>
                <o:lock v:ext="edit" aspectratio="f"/>
              </v:line>
            </w:pict>
          </mc:Fallback>
        </mc:AlternateContent>
      </w:r>
      <w:r>
        <w:rPr>
          <w:rFonts w:hint="eastAsia" w:ascii="仿宋_GB2312"/>
          <w:color w:val="auto"/>
          <w:spacing w:val="0"/>
          <w:sz w:val="28"/>
          <w:szCs w:val="28"/>
          <w:lang w:eastAsia="zh-CN"/>
        </w:rPr>
        <w:t>主</w:t>
      </w:r>
      <w:r>
        <w:rPr>
          <w:rFonts w:hint="eastAsia" w:ascii="仿宋_GB2312" w:eastAsia="仿宋_GB2312"/>
          <w:color w:val="auto"/>
          <w:spacing w:val="0"/>
          <w:sz w:val="28"/>
          <w:szCs w:val="28"/>
        </w:rPr>
        <w:t>送：</w:t>
      </w:r>
      <w:r>
        <w:rPr>
          <w:rFonts w:hint="eastAsia" w:ascii="仿宋_GB2312" w:eastAsia="仿宋_GB2312"/>
          <w:color w:val="auto"/>
          <w:spacing w:val="-6"/>
          <w:sz w:val="28"/>
          <w:szCs w:val="28"/>
        </w:rPr>
        <w:t>各市人力资源社会保障局、发展改革委、财政局、住房城乡建设局、</w:t>
      </w:r>
    </w:p>
    <w:p>
      <w:pPr>
        <w:ind w:firstLine="276" w:firstLineChars="100"/>
        <w:rPr>
          <w:rFonts w:hint="eastAsia" w:ascii="仿宋_GB2312" w:eastAsia="仿宋_GB2312"/>
          <w:color w:val="auto"/>
          <w:spacing w:val="0"/>
          <w:sz w:val="28"/>
          <w:szCs w:val="28"/>
        </w:rPr>
      </w:pPr>
      <w:r>
        <w:rPr>
          <w:rFonts w:hint="eastAsia" w:ascii="仿宋_GB2312"/>
          <w:color w:val="auto"/>
          <w:spacing w:val="0"/>
          <w:sz w:val="28"/>
          <w:szCs w:val="28"/>
          <w:lang w:val="en-US" w:eastAsia="zh-CN"/>
        </w:rPr>
        <w:t xml:space="preserve">      </w:t>
      </w:r>
      <w:r>
        <w:rPr>
          <w:rFonts w:hint="eastAsia" w:ascii="仿宋_GB2312" w:eastAsia="仿宋_GB2312"/>
          <w:color w:val="auto"/>
          <w:spacing w:val="0"/>
          <w:sz w:val="28"/>
          <w:szCs w:val="28"/>
        </w:rPr>
        <w:t>交通运输局、水利局，人民银行各市中心支行、分行营业管理部，</w:t>
      </w:r>
    </w:p>
    <w:p>
      <w:pPr>
        <w:ind w:firstLine="276" w:firstLineChars="100"/>
        <w:rPr>
          <w:rFonts w:hint="eastAsia" w:ascii="仿宋_GB2312" w:eastAsia="仿宋_GB2312"/>
          <w:color w:val="auto"/>
          <w:spacing w:val="0"/>
          <w:sz w:val="28"/>
          <w:szCs w:val="28"/>
        </w:rPr>
      </w:pPr>
      <w:r>
        <w:rPr>
          <w:rFonts w:hint="eastAsia" w:ascii="仿宋_GB2312"/>
          <w:color w:val="auto"/>
          <w:spacing w:val="0"/>
          <w:sz w:val="28"/>
          <w:szCs w:val="28"/>
          <w:lang w:val="en-US" w:eastAsia="zh-CN"/>
        </w:rPr>
        <w:t xml:space="preserve">      </w:t>
      </w:r>
      <w:r>
        <w:rPr>
          <w:rFonts w:hint="eastAsia" w:ascii="仿宋_GB2312" w:eastAsia="仿宋_GB2312"/>
          <w:color w:val="auto"/>
          <w:spacing w:val="0"/>
          <w:sz w:val="28"/>
          <w:szCs w:val="28"/>
        </w:rPr>
        <w:t>各银保监分局，中国铁路济南局集团有限公司，沿黄各市河务（管</w:t>
      </w:r>
    </w:p>
    <w:p>
      <w:pPr>
        <w:ind w:firstLine="276" w:firstLineChars="100"/>
        <w:rPr>
          <w:rFonts w:hint="eastAsia" w:ascii="仿宋_GB2312" w:eastAsia="仿宋_GB2312"/>
          <w:color w:val="auto"/>
          <w:spacing w:val="0"/>
          <w:sz w:val="28"/>
          <w:szCs w:val="28"/>
        </w:rPr>
      </w:pPr>
      <w:r>
        <w:rPr>
          <w:rFonts w:hint="eastAsia" w:ascii="仿宋_GB2312"/>
          <w:color w:val="auto"/>
          <w:spacing w:val="0"/>
          <w:sz w:val="28"/>
          <w:szCs w:val="28"/>
          <w:lang w:val="en-US" w:eastAsia="zh-CN"/>
        </w:rPr>
        <w:t xml:space="preserve">      </w:t>
      </w:r>
      <w:r>
        <w:rPr>
          <w:rFonts w:hint="eastAsia" w:ascii="仿宋_GB2312" w:eastAsia="仿宋_GB2312"/>
          <w:color w:val="auto"/>
          <w:spacing w:val="0"/>
          <w:sz w:val="28"/>
          <w:szCs w:val="28"/>
        </w:rPr>
        <w:t>理）局，山东各民航企事业单位（含机场建设指挥部）</w:t>
      </w:r>
    </w:p>
    <w:p>
      <w:pPr>
        <w:ind w:firstLine="276" w:firstLineChars="100"/>
        <w:rPr>
          <w:color w:val="auto"/>
        </w:rPr>
      </w:pP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5615940" cy="0"/>
                <wp:effectExtent l="0" t="0" r="0" b="0"/>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35pt;height:0pt;width:442.2pt;z-index:251661312;mso-width-relative:page;mso-height-relative:page;" filled="f" stroked="t" coordsize="21600,21600" o:gfxdata="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e69gXUAAAA&#10;BAEAAA8AAAAAAAAAAQAgAAAAIgAAAGRycy9kb3ducmV2LnhtbFBLAQIUABQAAAAIAIdO4kBG0Mov&#10;6AEAANwDAAAOAAAAAAAAAAEAIAAAACMBAABkcnMvZTJvRG9jLnhtbFBLBQYAAAAABgAGAFkBAAB9&#10;BQ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rPr>
        <w:t>山东省人力资源和社会保障厅办公室         202</w:t>
      </w:r>
      <w:r>
        <w:rPr>
          <w:rFonts w:hint="eastAsia" w:ascii="仿宋_GB2312"/>
          <w:color w:val="auto"/>
          <w:sz w:val="28"/>
          <w:szCs w:val="28"/>
          <w:lang w:val="en-US" w:eastAsia="zh-CN"/>
        </w:rPr>
        <w:t>3</w:t>
      </w:r>
      <w:r>
        <w:rPr>
          <w:rFonts w:hint="eastAsia" w:ascii="仿宋_GB2312" w:eastAsia="仿宋_GB2312"/>
          <w:color w:val="auto"/>
          <w:sz w:val="28"/>
          <w:szCs w:val="28"/>
        </w:rPr>
        <w:t>年</w:t>
      </w:r>
      <w:r>
        <w:rPr>
          <w:rFonts w:hint="eastAsia" w:ascii="仿宋_GB2312"/>
          <w:color w:val="auto"/>
          <w:sz w:val="28"/>
          <w:szCs w:val="28"/>
          <w:lang w:val="en-US" w:eastAsia="zh-CN"/>
        </w:rPr>
        <w:t>7</w:t>
      </w:r>
      <w:r>
        <w:rPr>
          <w:rFonts w:hint="eastAsia" w:ascii="仿宋_GB2312" w:eastAsia="仿宋_GB2312"/>
          <w:color w:val="auto"/>
          <w:sz w:val="28"/>
          <w:szCs w:val="28"/>
        </w:rPr>
        <w:t>月</w:t>
      </w:r>
      <w:r>
        <w:rPr>
          <w:rFonts w:hint="eastAsia" w:ascii="仿宋_GB2312"/>
          <w:color w:val="auto"/>
          <w:sz w:val="28"/>
          <w:szCs w:val="28"/>
          <w:lang w:val="en-US" w:eastAsia="zh-CN"/>
        </w:rPr>
        <w:t>4</w:t>
      </w:r>
      <w:r>
        <w:rPr>
          <w:rFonts w:hint="eastAsia" w:ascii="仿宋_GB2312" w:eastAsia="仿宋_GB2312"/>
          <w:color w:val="auto"/>
          <w:sz w:val="28"/>
          <w:szCs w:val="28"/>
        </w:rPr>
        <w:t>日印发</w:t>
      </w:r>
      <w:r>
        <w:rPr>
          <w:rFonts w:hint="eastAsia" w:ascii="仿宋_GB2312" w:eastAsia="仿宋_GB2312"/>
          <w:color w:val="auto"/>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351790</wp:posOffset>
                </wp:positionV>
                <wp:extent cx="5615940" cy="0"/>
                <wp:effectExtent l="0" t="0" r="0" b="0"/>
                <wp:wrapNone/>
                <wp:docPr id="2" name="直线 4"/>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top:27.7pt;height:0pt;width:442.2pt;mso-position-horizontal:center;z-index:251663360;mso-width-relative:page;mso-height-relative:page;" filled="f" stroked="t" coordsize="21600,21600" o:gfxdata="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EInW&#10;AAAABgEAAA8AAAAAAAAAAQAgAAAAIgAAAGRycy9kb3ducmV2LnhtbFBLAQIUABQAAAAIAIdO4kAv&#10;aUhr6QEAANwDAAAOAAAAAAAAAAEAIAAAACUBAABkcnMvZTJvRG9jLnhtbFBLBQYAAAAABgAGAFkB&#10;AACABQAAAAA=&#10;">
                <v:fill on="f" focussize="0,0"/>
                <v:stroke weight="1.25pt" color="#000000" joinstyle="round"/>
                <v:imagedata o:title=""/>
                <o:lock v:ext="edit" aspectratio="f"/>
              </v:line>
            </w:pict>
          </mc:Fallback>
        </mc:AlternateContent>
      </w:r>
    </w:p>
    <w:bookmarkEnd w:id="0"/>
    <w:sectPr>
      <w:footerReference r:id="rId3" w:type="default"/>
      <w:pgSz w:w="11906" w:h="16838"/>
      <w:pgMar w:top="2098" w:right="1531" w:bottom="1814" w:left="1531" w:header="851" w:footer="1587" w:gutter="0"/>
      <w:pgNumType w:fmt="decimal"/>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jMzY0Y2VhYWFmMjEzYzc0MGNjNjcwYzk0OTEwZjUifQ=="/>
  </w:docVars>
  <w:rsids>
    <w:rsidRoot w:val="00266C0D"/>
    <w:rsid w:val="000165C7"/>
    <w:rsid w:val="00062595"/>
    <w:rsid w:val="00067819"/>
    <w:rsid w:val="00092D81"/>
    <w:rsid w:val="000B1CC8"/>
    <w:rsid w:val="000C1101"/>
    <w:rsid w:val="000C1231"/>
    <w:rsid w:val="000D2F6C"/>
    <w:rsid w:val="000E30C7"/>
    <w:rsid w:val="001148DB"/>
    <w:rsid w:val="001267C5"/>
    <w:rsid w:val="00174379"/>
    <w:rsid w:val="001860C5"/>
    <w:rsid w:val="00193AFC"/>
    <w:rsid w:val="001A5A3F"/>
    <w:rsid w:val="001B42E2"/>
    <w:rsid w:val="001B6D2D"/>
    <w:rsid w:val="001E6286"/>
    <w:rsid w:val="00206DC1"/>
    <w:rsid w:val="00235D08"/>
    <w:rsid w:val="00240F04"/>
    <w:rsid w:val="00266C0D"/>
    <w:rsid w:val="002735BB"/>
    <w:rsid w:val="002817D5"/>
    <w:rsid w:val="002D1D63"/>
    <w:rsid w:val="002F2459"/>
    <w:rsid w:val="00327F3E"/>
    <w:rsid w:val="00350439"/>
    <w:rsid w:val="00375D45"/>
    <w:rsid w:val="00395689"/>
    <w:rsid w:val="003F6ABB"/>
    <w:rsid w:val="00406373"/>
    <w:rsid w:val="00460B75"/>
    <w:rsid w:val="0048419D"/>
    <w:rsid w:val="004B0FC6"/>
    <w:rsid w:val="004E42E4"/>
    <w:rsid w:val="0054285E"/>
    <w:rsid w:val="00554FC0"/>
    <w:rsid w:val="00562B63"/>
    <w:rsid w:val="00567AFE"/>
    <w:rsid w:val="005D2016"/>
    <w:rsid w:val="00632AE8"/>
    <w:rsid w:val="006423D4"/>
    <w:rsid w:val="00642611"/>
    <w:rsid w:val="006502D5"/>
    <w:rsid w:val="006735C6"/>
    <w:rsid w:val="006B426F"/>
    <w:rsid w:val="00714514"/>
    <w:rsid w:val="007207DE"/>
    <w:rsid w:val="007327EB"/>
    <w:rsid w:val="007722EA"/>
    <w:rsid w:val="007733D6"/>
    <w:rsid w:val="007820AE"/>
    <w:rsid w:val="007A5DAF"/>
    <w:rsid w:val="007A7866"/>
    <w:rsid w:val="007E3055"/>
    <w:rsid w:val="007F34EB"/>
    <w:rsid w:val="00807CB9"/>
    <w:rsid w:val="008102FE"/>
    <w:rsid w:val="00882851"/>
    <w:rsid w:val="008D090E"/>
    <w:rsid w:val="008D6075"/>
    <w:rsid w:val="008F7702"/>
    <w:rsid w:val="008F7DD5"/>
    <w:rsid w:val="008F7F76"/>
    <w:rsid w:val="00923021"/>
    <w:rsid w:val="009311C0"/>
    <w:rsid w:val="00931303"/>
    <w:rsid w:val="009B5B1F"/>
    <w:rsid w:val="009D6A5B"/>
    <w:rsid w:val="00A01F5F"/>
    <w:rsid w:val="00A12C1C"/>
    <w:rsid w:val="00A13412"/>
    <w:rsid w:val="00A1543E"/>
    <w:rsid w:val="00A20EF6"/>
    <w:rsid w:val="00A515D5"/>
    <w:rsid w:val="00A932DB"/>
    <w:rsid w:val="00B1384C"/>
    <w:rsid w:val="00B1554B"/>
    <w:rsid w:val="00B25109"/>
    <w:rsid w:val="00B301D5"/>
    <w:rsid w:val="00B34730"/>
    <w:rsid w:val="00B73456"/>
    <w:rsid w:val="00B81309"/>
    <w:rsid w:val="00BA4E66"/>
    <w:rsid w:val="00BF45BF"/>
    <w:rsid w:val="00C12192"/>
    <w:rsid w:val="00C14DA7"/>
    <w:rsid w:val="00C24B2A"/>
    <w:rsid w:val="00C2762C"/>
    <w:rsid w:val="00C53A82"/>
    <w:rsid w:val="00C80AAF"/>
    <w:rsid w:val="00CA1EB6"/>
    <w:rsid w:val="00CA1EC5"/>
    <w:rsid w:val="00CA3430"/>
    <w:rsid w:val="00D2078F"/>
    <w:rsid w:val="00D30955"/>
    <w:rsid w:val="00D3586A"/>
    <w:rsid w:val="00D52179"/>
    <w:rsid w:val="00E11B6B"/>
    <w:rsid w:val="00E337DB"/>
    <w:rsid w:val="00E3738A"/>
    <w:rsid w:val="00E41488"/>
    <w:rsid w:val="00E87E30"/>
    <w:rsid w:val="00EA364A"/>
    <w:rsid w:val="00EA4DB2"/>
    <w:rsid w:val="00EB0C39"/>
    <w:rsid w:val="00EB2FA8"/>
    <w:rsid w:val="00EB4422"/>
    <w:rsid w:val="00ED1186"/>
    <w:rsid w:val="00EE2F83"/>
    <w:rsid w:val="00F50D52"/>
    <w:rsid w:val="00F922DE"/>
    <w:rsid w:val="00FA1A00"/>
    <w:rsid w:val="00FA2C83"/>
    <w:rsid w:val="00FA73F5"/>
    <w:rsid w:val="00FB1ECA"/>
    <w:rsid w:val="00FC125E"/>
    <w:rsid w:val="00FC5CE4"/>
    <w:rsid w:val="0159301C"/>
    <w:rsid w:val="02535CBD"/>
    <w:rsid w:val="02FC4A32"/>
    <w:rsid w:val="04B8274F"/>
    <w:rsid w:val="052A40F6"/>
    <w:rsid w:val="05F03466"/>
    <w:rsid w:val="06346D5B"/>
    <w:rsid w:val="0A982C28"/>
    <w:rsid w:val="0B3D575C"/>
    <w:rsid w:val="0D646FD0"/>
    <w:rsid w:val="0F27751E"/>
    <w:rsid w:val="0F694A08"/>
    <w:rsid w:val="0FA03800"/>
    <w:rsid w:val="104F26DE"/>
    <w:rsid w:val="10A078A4"/>
    <w:rsid w:val="133E45D1"/>
    <w:rsid w:val="13C37BE8"/>
    <w:rsid w:val="17663133"/>
    <w:rsid w:val="1A0A0266"/>
    <w:rsid w:val="1BA644E5"/>
    <w:rsid w:val="1C2F7A98"/>
    <w:rsid w:val="1C514CBA"/>
    <w:rsid w:val="216A25D6"/>
    <w:rsid w:val="2CC85379"/>
    <w:rsid w:val="2EEB0EA8"/>
    <w:rsid w:val="2FC33BD3"/>
    <w:rsid w:val="310C1175"/>
    <w:rsid w:val="339602DC"/>
    <w:rsid w:val="33977EBE"/>
    <w:rsid w:val="33E420BD"/>
    <w:rsid w:val="34FD36E3"/>
    <w:rsid w:val="364517E5"/>
    <w:rsid w:val="376F987B"/>
    <w:rsid w:val="3A43768E"/>
    <w:rsid w:val="3B1B6350"/>
    <w:rsid w:val="3DF873A4"/>
    <w:rsid w:val="3E9A7BAC"/>
    <w:rsid w:val="3EA12A19"/>
    <w:rsid w:val="41656898"/>
    <w:rsid w:val="41FB4DAF"/>
    <w:rsid w:val="43607C5E"/>
    <w:rsid w:val="43860D47"/>
    <w:rsid w:val="44AB6E8E"/>
    <w:rsid w:val="44DF5D96"/>
    <w:rsid w:val="44F45026"/>
    <w:rsid w:val="47D85B3E"/>
    <w:rsid w:val="49831FB1"/>
    <w:rsid w:val="4C8F5278"/>
    <w:rsid w:val="4E5C54C6"/>
    <w:rsid w:val="50A72D66"/>
    <w:rsid w:val="521001AD"/>
    <w:rsid w:val="56F72708"/>
    <w:rsid w:val="570606C5"/>
    <w:rsid w:val="571555B1"/>
    <w:rsid w:val="577D2735"/>
    <w:rsid w:val="58670CF0"/>
    <w:rsid w:val="58767185"/>
    <w:rsid w:val="5A1C3A6E"/>
    <w:rsid w:val="5CC355BF"/>
    <w:rsid w:val="5F0D2FC2"/>
    <w:rsid w:val="5F394EE8"/>
    <w:rsid w:val="5F3D27AA"/>
    <w:rsid w:val="5F5E109E"/>
    <w:rsid w:val="5FB6144D"/>
    <w:rsid w:val="61B431F8"/>
    <w:rsid w:val="646A5E3B"/>
    <w:rsid w:val="64B96D77"/>
    <w:rsid w:val="66695D54"/>
    <w:rsid w:val="67206C39"/>
    <w:rsid w:val="676F5257"/>
    <w:rsid w:val="6808604B"/>
    <w:rsid w:val="688B27D8"/>
    <w:rsid w:val="68A359CF"/>
    <w:rsid w:val="69912F74"/>
    <w:rsid w:val="6A2E5B11"/>
    <w:rsid w:val="6A6D5403"/>
    <w:rsid w:val="6BEA36B0"/>
    <w:rsid w:val="6D7E0B5E"/>
    <w:rsid w:val="6DB4632D"/>
    <w:rsid w:val="6E8421A4"/>
    <w:rsid w:val="6F846263"/>
    <w:rsid w:val="6FB5AE53"/>
    <w:rsid w:val="6FCC795E"/>
    <w:rsid w:val="702F1BFD"/>
    <w:rsid w:val="70F33611"/>
    <w:rsid w:val="71DF6A2F"/>
    <w:rsid w:val="72C6109F"/>
    <w:rsid w:val="72CD01A9"/>
    <w:rsid w:val="73FFAD7C"/>
    <w:rsid w:val="749018A2"/>
    <w:rsid w:val="764B35A7"/>
    <w:rsid w:val="7C9A0E50"/>
    <w:rsid w:val="7D5E7FDC"/>
    <w:rsid w:val="7E4C6DC5"/>
    <w:rsid w:val="7EC86E2C"/>
    <w:rsid w:val="9FFEBDB5"/>
    <w:rsid w:val="BDF13D87"/>
    <w:rsid w:val="BEE782F7"/>
    <w:rsid w:val="F7FF9A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sz w:val="32"/>
      <w:szCs w:val="32"/>
      <w:lang w:val="en-US" w:eastAsia="zh-CN" w:bidi="ar-SA"/>
    </w:rPr>
  </w:style>
  <w:style w:type="paragraph" w:styleId="4">
    <w:name w:val="heading 1"/>
    <w:basedOn w:val="1"/>
    <w:next w:val="1"/>
    <w:qFormat/>
    <w:uiPriority w:val="0"/>
    <w:pPr>
      <w:jc w:val="left"/>
      <w:outlineLvl w:val="0"/>
    </w:pPr>
    <w:rPr>
      <w:rFonts w:hint="eastAsia" w:ascii="宋体" w:hAnsi="宋体" w:eastAsia="宋体" w:cs="宋体"/>
      <w:b/>
      <w:bCs/>
      <w:kern w:val="44"/>
      <w:sz w:val="48"/>
      <w:szCs w:val="4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text"/>
    <w:basedOn w:val="1"/>
    <w:qFormat/>
    <w:uiPriority w:val="0"/>
    <w:pPr>
      <w:jc w:val="left"/>
    </w:pPr>
  </w:style>
  <w:style w:type="paragraph" w:styleId="6">
    <w:name w:val="Balloon Text"/>
    <w:basedOn w:val="1"/>
    <w:link w:val="16"/>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Autospacing="1" w:afterAutospacing="1"/>
      <w:jc w:val="left"/>
    </w:pPr>
    <w:rPr>
      <w:sz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cs="Times New Roman"/>
      <w:b/>
      <w:bCs/>
    </w:rPr>
  </w:style>
  <w:style w:type="character" w:styleId="13">
    <w:name w:val="FollowedHyperlink"/>
    <w:basedOn w:val="11"/>
    <w:qFormat/>
    <w:uiPriority w:val="0"/>
    <w:rPr>
      <w:color w:val="005C81"/>
      <w:u w:val="none"/>
    </w:rPr>
  </w:style>
  <w:style w:type="character" w:styleId="14">
    <w:name w:val="Emphasis"/>
    <w:basedOn w:val="11"/>
    <w:qFormat/>
    <w:uiPriority w:val="0"/>
  </w:style>
  <w:style w:type="character" w:styleId="15">
    <w:name w:val="Hyperlink"/>
    <w:basedOn w:val="11"/>
    <w:qFormat/>
    <w:uiPriority w:val="0"/>
    <w:rPr>
      <w:color w:val="005C81"/>
      <w:u w:val="none"/>
    </w:rPr>
  </w:style>
  <w:style w:type="character" w:customStyle="1" w:styleId="16">
    <w:name w:val="批注框文本 字符"/>
    <w:basedOn w:val="11"/>
    <w:link w:val="6"/>
    <w:semiHidden/>
    <w:qFormat/>
    <w:uiPriority w:val="99"/>
    <w:rPr>
      <w:rFonts w:eastAsia="仿宋_GB2312" w:cs="黑体"/>
      <w:sz w:val="18"/>
      <w:szCs w:val="18"/>
    </w:rPr>
  </w:style>
  <w:style w:type="paragraph" w:customStyle="1" w:styleId="17">
    <w:name w:val="修订1"/>
    <w:hidden/>
    <w:semiHidden/>
    <w:qFormat/>
    <w:uiPriority w:val="99"/>
    <w:rPr>
      <w:rFonts w:ascii="Calibri" w:hAnsi="Calibri" w:eastAsia="仿宋_GB2312" w:cs="黑体"/>
      <w:sz w:val="32"/>
      <w:szCs w:val="32"/>
      <w:lang w:val="en-US" w:eastAsia="zh-CN" w:bidi="ar-SA"/>
    </w:rPr>
  </w:style>
  <w:style w:type="character" w:customStyle="1" w:styleId="18">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 SelectedStyl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87A6A-1432-4ED4-81A6-DB42DDCCA16B}">
  <ds:schemaRefs/>
</ds:datastoreItem>
</file>

<file path=docProps/app.xml><?xml version="1.0" encoding="utf-8"?>
<Properties xmlns="http://schemas.openxmlformats.org/officeDocument/2006/extended-properties" xmlns:vt="http://schemas.openxmlformats.org/officeDocument/2006/docPropsVTypes">
  <Company>rs</Company>
  <Pages>12</Pages>
  <Words>4737</Words>
  <Characters>4778</Characters>
  <Lines>34</Lines>
  <Paragraphs>9</Paragraphs>
  <TotalTime>6</TotalTime>
  <ScaleCrop>false</ScaleCrop>
  <LinksUpToDate>false</LinksUpToDate>
  <CharactersWithSpaces>4931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2023-05-11T02:07:00Z</dcterms:created>
  <dc:creator>张焱</dc:creator>
  <cp:lastModifiedBy>辰静律师</cp:lastModifiedBy>
  <cp:lastPrinted>2023-07-05T06:02:00Z</cp:lastPrinted>
  <dcterms:modified xsi:type="dcterms:W3CDTF">2023-07-18T03:25:06Z</dcterms:modified>
  <dc:title>山东省农民工工资支付监管平台管理办法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C62EC506AA3F4EB7AB8F3B8A9361C402</vt:lpwstr>
  </property>
</Properties>
</file>