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山东省安全评价从业人员信用分级评价标准</w:t>
      </w:r>
    </w:p>
    <w:tbl>
      <w:tblPr>
        <w:tblStyle w:val="9"/>
        <w:tblW w:w="8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6228"/>
        <w:gridCol w:w="1000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63" w:type="dxa"/>
          <w:trHeight w:val="527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</w:t>
            </w:r>
          </w:p>
        </w:tc>
        <w:tc>
          <w:tcPr>
            <w:tcW w:w="6228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评分标准及</w:t>
            </w:r>
          </w:p>
        </w:tc>
        <w:tc>
          <w:tcPr>
            <w:tcW w:w="100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分值</w:t>
            </w:r>
          </w:p>
        </w:tc>
        <w:tc>
          <w:tcPr>
            <w:tcW w:w="768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63" w:type="dxa"/>
          <w:jc w:val="center"/>
        </w:trPr>
        <w:tc>
          <w:tcPr>
            <w:tcW w:w="79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资质信息</w:t>
            </w:r>
          </w:p>
        </w:tc>
        <w:tc>
          <w:tcPr>
            <w:tcW w:w="6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符合《安全评价检测检验机构管理办法》（应急管理部1号令）从业人员要求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的，得35分；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发现从业人员资质异常的，每次扣5分，本项分值扣完为止。</w:t>
            </w:r>
          </w:p>
        </w:tc>
        <w:tc>
          <w:tcPr>
            <w:tcW w:w="100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</w:t>
            </w:r>
          </w:p>
        </w:tc>
        <w:tc>
          <w:tcPr>
            <w:tcW w:w="7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63" w:type="dxa"/>
          <w:trHeight w:val="1760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服务质量</w:t>
            </w:r>
          </w:p>
        </w:tc>
        <w:tc>
          <w:tcPr>
            <w:tcW w:w="6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作为项目组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员或审核人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参与的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法定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安全评价报告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省安全评价检测信息系统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对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报告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质量评估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平均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得分，满分20分。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作为项目组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员或审核人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参与的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法定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安全评价报告集中评审复核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平均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得分，满分20分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信用评价周期内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未进行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集中评审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复核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的，以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所在安全评价机构报告集中评审复核平均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得分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计算本项得分。</w:t>
            </w:r>
          </w:p>
        </w:tc>
        <w:tc>
          <w:tcPr>
            <w:tcW w:w="100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</w:t>
            </w:r>
          </w:p>
        </w:tc>
        <w:tc>
          <w:tcPr>
            <w:tcW w:w="7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63" w:type="dxa"/>
          <w:trHeight w:val="867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综合能力</w:t>
            </w:r>
          </w:p>
        </w:tc>
        <w:tc>
          <w:tcPr>
            <w:tcW w:w="6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作为项目组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员或审核人员参与的法定安全评价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项目，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根据各级应急管理部门审查数量计分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作为技术负责人或过程控制负责人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，省级及以上审查项目每个2分、市级审查项目每个1分、县级审查项目每个0.5分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作为项目负责人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，省级及以上审查项目每个1.5分、市级审查项目每个0.8分、县级审查项目每个0.4分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作为项目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组其他人员（含内部审核人员）的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，省级及以上审查项目每个1分、市级审查项目每个0.6分、县级审查项目每个0.2分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法定安全评价项目未通过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省安全评价检测信息系统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关联许可事项的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不纳入统计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。满分20分。</w:t>
            </w:r>
          </w:p>
        </w:tc>
        <w:tc>
          <w:tcPr>
            <w:tcW w:w="100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7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63" w:type="dxa"/>
          <w:trHeight w:val="90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技术创新</w:t>
            </w:r>
          </w:p>
        </w:tc>
        <w:tc>
          <w:tcPr>
            <w:tcW w:w="6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5.安全评价机构从业人员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参与安全评价业务相关国家标准制定的，得3分；参与安全评价业务相关行业标准或地方标准制定的，得2分，满分5分。</w:t>
            </w:r>
          </w:p>
        </w:tc>
        <w:tc>
          <w:tcPr>
            <w:tcW w:w="100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7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63" w:type="dxa"/>
          <w:trHeight w:val="850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执业规范</w:t>
            </w:r>
          </w:p>
        </w:tc>
        <w:tc>
          <w:tcPr>
            <w:tcW w:w="6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6.安全评价机构从业人员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频繁变更从业机构，两年内在3家（含）以上安全评价机构注册的，扣5分。</w:t>
            </w:r>
          </w:p>
        </w:tc>
        <w:tc>
          <w:tcPr>
            <w:tcW w:w="100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扣分项</w:t>
            </w:r>
          </w:p>
        </w:tc>
        <w:tc>
          <w:tcPr>
            <w:tcW w:w="7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63" w:type="dxa"/>
          <w:trHeight w:val="585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行政管理信息</w:t>
            </w:r>
          </w:p>
        </w:tc>
        <w:tc>
          <w:tcPr>
            <w:tcW w:w="6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7.信用评价周期内，作为项目组成员或审核人员参与的法定安全评价项目，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受到行政警告处罚的，每次-2分；行政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</w:rPr>
              <w:t>处罚罚款数额一万元（含）以下的，每次-4分；行政处罚罚款数额一万元以上的，每次-6分；责令停业整顿的，每次-10分。根据“择一从重”原则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lang w:val="en-US"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</w:rPr>
              <w:t>同一违法行为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lang w:val="en-US" w:eastAsia="zh-CN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</w:rPr>
              <w:t>扣分。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8.信用评价周期内，安全评价机构从业人员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受到行政处罚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罚款数额五千元（含）以下的，每次-10分；罚款数额五千元以上，一万元（含）以下的，每次-15分；罚款数额一万元以上的，每次-20分。</w:t>
            </w:r>
          </w:p>
        </w:tc>
        <w:tc>
          <w:tcPr>
            <w:tcW w:w="10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扣分项</w:t>
            </w:r>
          </w:p>
        </w:tc>
        <w:tc>
          <w:tcPr>
            <w:tcW w:w="7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7"/>
        <w:wordWrap w:val="0"/>
        <w:overflowPunct w:val="0"/>
        <w:spacing w:line="20" w:lineRule="exact"/>
        <w:ind w:firstLine="0" w:firstLineChars="0"/>
        <w:rPr>
          <w:rFonts w:ascii="仿宋_GB2312" w:eastAsia="仿宋_GB2312" w:cs="仿宋_GB2312"/>
          <w:sz w:val="36"/>
          <w:szCs w:val="36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ge">
                  <wp:posOffset>9474835</wp:posOffset>
                </wp:positionV>
                <wp:extent cx="1915795" cy="741045"/>
                <wp:effectExtent l="0" t="0" r="8255" b="19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41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1.75pt;margin-top:746.05pt;height:58.35pt;width:150.85pt;mso-position-vertical-relative:page;z-index:251659264;v-text-anchor:middle;mso-width-relative:page;mso-height-relative:page;" fillcolor="#CCE8CF [3212]" filled="t" stroked="f" coordsize="21600,21600" o:gfxdata="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tELAt0AAAANAQAADwAAAAAAAAABACAAAAAiAAAAZHJzL2Rvd25yZXYu&#10;eG1sUEsBAhQAFAAAAAgAh07iQDqRqEpoAgAAvwQAAA4AAAAAAAAAAQAgAAAALAEAAGRycy9lMm9E&#10;b2MueG1sUEsFBgAAAAAGAAYAWQEAAAY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417" w:bottom="1440" w:left="141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1MTg5ZGVlYmNjMjYwZjY3NWJhZTUwNDFkOTM4M2EifQ=="/>
    <w:docVar w:name="KSO_WPS_MARK_KEY" w:val="fa74e1ec-aa90-4c1b-b317-75c5b2f70896"/>
  </w:docVars>
  <w:rsids>
    <w:rsidRoot w:val="009D4AC0"/>
    <w:rsid w:val="006F645B"/>
    <w:rsid w:val="0075192D"/>
    <w:rsid w:val="008D74D0"/>
    <w:rsid w:val="009D4AC0"/>
    <w:rsid w:val="00C66DEC"/>
    <w:rsid w:val="00D97A16"/>
    <w:rsid w:val="00EC5673"/>
    <w:rsid w:val="00F53160"/>
    <w:rsid w:val="00FE6F04"/>
    <w:rsid w:val="02026CF5"/>
    <w:rsid w:val="033509C2"/>
    <w:rsid w:val="03483F29"/>
    <w:rsid w:val="0848248B"/>
    <w:rsid w:val="09BC7ACE"/>
    <w:rsid w:val="0CF52B3C"/>
    <w:rsid w:val="11CD1BBD"/>
    <w:rsid w:val="12EC1C78"/>
    <w:rsid w:val="1B2C0EC3"/>
    <w:rsid w:val="1C5E4FA6"/>
    <w:rsid w:val="1D2B6195"/>
    <w:rsid w:val="1FD17301"/>
    <w:rsid w:val="209B0FE4"/>
    <w:rsid w:val="23C8664C"/>
    <w:rsid w:val="25264BD2"/>
    <w:rsid w:val="2A9557C4"/>
    <w:rsid w:val="2B1265F7"/>
    <w:rsid w:val="2BDD66FC"/>
    <w:rsid w:val="2E4B6B36"/>
    <w:rsid w:val="2EFF54CE"/>
    <w:rsid w:val="300A35B0"/>
    <w:rsid w:val="30513D07"/>
    <w:rsid w:val="311E1F00"/>
    <w:rsid w:val="3941143D"/>
    <w:rsid w:val="3ADB7FAB"/>
    <w:rsid w:val="3B70514E"/>
    <w:rsid w:val="3C825BED"/>
    <w:rsid w:val="3D2D459C"/>
    <w:rsid w:val="3F5D50E3"/>
    <w:rsid w:val="40894E22"/>
    <w:rsid w:val="40C043A3"/>
    <w:rsid w:val="4193607F"/>
    <w:rsid w:val="41E32FF0"/>
    <w:rsid w:val="4BAC1E45"/>
    <w:rsid w:val="4BCC037D"/>
    <w:rsid w:val="4CCB6598"/>
    <w:rsid w:val="4F601134"/>
    <w:rsid w:val="51BD5CB2"/>
    <w:rsid w:val="55BB0EC6"/>
    <w:rsid w:val="595868E5"/>
    <w:rsid w:val="5C4E425E"/>
    <w:rsid w:val="5F411BED"/>
    <w:rsid w:val="61ED256D"/>
    <w:rsid w:val="624F565A"/>
    <w:rsid w:val="62ED021E"/>
    <w:rsid w:val="63F52EBA"/>
    <w:rsid w:val="64B576F3"/>
    <w:rsid w:val="64E53305"/>
    <w:rsid w:val="665C50E4"/>
    <w:rsid w:val="668A6B10"/>
    <w:rsid w:val="68B758A2"/>
    <w:rsid w:val="6A157190"/>
    <w:rsid w:val="6B2E0394"/>
    <w:rsid w:val="6C505CE5"/>
    <w:rsid w:val="725A1E06"/>
    <w:rsid w:val="74A12679"/>
    <w:rsid w:val="7563032B"/>
    <w:rsid w:val="758E2490"/>
    <w:rsid w:val="75AA4A4C"/>
    <w:rsid w:val="76EE5B2B"/>
    <w:rsid w:val="78695B6A"/>
    <w:rsid w:val="79EC6C26"/>
    <w:rsid w:val="7C087F01"/>
    <w:rsid w:val="7D7C3500"/>
    <w:rsid w:val="7E452BBB"/>
    <w:rsid w:val="7EEC515B"/>
    <w:rsid w:val="DF3F9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Body Text Indent"/>
    <w:basedOn w:val="1"/>
    <w:next w:val="3"/>
    <w:qFormat/>
    <w:uiPriority w:val="0"/>
    <w:pPr>
      <w:spacing w:line="560" w:lineRule="exact"/>
      <w:ind w:firstLine="200" w:firstLineChars="200"/>
    </w:pPr>
    <w:rPr>
      <w:rFonts w:ascii="黑体" w:eastAsia="黑体" w:cs="黑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 2"/>
    <w:basedOn w:val="4"/>
    <w:qFormat/>
    <w:uiPriority w:val="0"/>
    <w:rPr>
      <w:rFonts w:ascii="Times New Roman" w:hAnsi="Times New Roman" w:eastAsia="宋体" w:cs="Times New Roman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">
    <w:name w:val="无间隔1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4</Pages>
  <Words>1487</Words>
  <Characters>1557</Characters>
  <Lines>65</Lines>
  <Paragraphs>18</Paragraphs>
  <TotalTime>7</TotalTime>
  <ScaleCrop>false</ScaleCrop>
  <LinksUpToDate>false</LinksUpToDate>
  <CharactersWithSpaces>1557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2024-02-01T17:50:00Z</dcterms:created>
  <dc:creator>zhaoxinlei</dc:creator>
  <cp:lastModifiedBy>王洪锟</cp:lastModifiedBy>
  <cp:lastPrinted>2024-02-20T10:58:00Z</cp:lastPrinted>
  <dcterms:modified xsi:type="dcterms:W3CDTF">2024-02-28T02:03:22Z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4DFDCF6026D645EEB5767450B97AC39E_13</vt:lpwstr>
  </property>
</Properties>
</file>