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9E29" w14:textId="77777777" w:rsidR="00812E9B" w:rsidRDefault="0000000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山东省</w:t>
      </w: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年政府信息公开</w:t>
      </w:r>
    </w:p>
    <w:p w14:paraId="43AA5214" w14:textId="77777777" w:rsidR="00812E9B" w:rsidRDefault="0000000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工作年度报告</w:t>
      </w:r>
    </w:p>
    <w:p w14:paraId="781B922B" w14:textId="77777777" w:rsidR="00812E9B" w:rsidRDefault="00812E9B">
      <w:pPr>
        <w:spacing w:line="600" w:lineRule="exact"/>
        <w:ind w:firstLineChars="200" w:firstLine="640"/>
        <w:rPr>
          <w:rFonts w:ascii="Times New Roman" w:eastAsia="仿宋_GB2312" w:hAnsi="Times New Roman" w:cs="Times New Roman"/>
          <w:sz w:val="32"/>
          <w:szCs w:val="32"/>
        </w:rPr>
      </w:pPr>
    </w:p>
    <w:p w14:paraId="54C371B5"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本年度报告根据《中华人民共和国政府信息公开条例》（以下简称《条例》）和《国务院办公厅政府信息与政务公开办公室关于印发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中华人民共和国政府信息公开工作年度报告格式</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的通知》（国办公开办函〔</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号）相关要求编制，内容包括总体情况、主动公开政府信息情况、收到和处理政府信息公开申请情况、</w:t>
      </w:r>
      <w:r w:rsidR="00647532">
        <w:rPr>
          <w:rFonts w:ascii="Times New Roman" w:eastAsia="仿宋_GB2312" w:hAnsi="Times New Roman" w:cs="Times New Roman" w:hint="eastAsia"/>
          <w:sz w:val="32"/>
          <w:szCs w:val="32"/>
        </w:rPr>
        <w:t>因</w:t>
      </w:r>
      <w:r>
        <w:rPr>
          <w:rFonts w:ascii="Times New Roman" w:eastAsia="仿宋_GB2312" w:hAnsi="Times New Roman" w:cs="Times New Roman"/>
          <w:sz w:val="32"/>
          <w:szCs w:val="32"/>
        </w:rPr>
        <w:t>政府信息公开</w:t>
      </w:r>
      <w:r w:rsidR="00647532">
        <w:rPr>
          <w:rFonts w:ascii="Times New Roman" w:eastAsia="仿宋_GB2312" w:hAnsi="Times New Roman" w:cs="Times New Roman" w:hint="eastAsia"/>
          <w:sz w:val="32"/>
          <w:szCs w:val="32"/>
        </w:rPr>
        <w:t>工作被申请</w:t>
      </w:r>
      <w:r>
        <w:rPr>
          <w:rFonts w:ascii="Times New Roman" w:eastAsia="仿宋_GB2312" w:hAnsi="Times New Roman" w:cs="Times New Roman"/>
          <w:sz w:val="32"/>
          <w:szCs w:val="32"/>
        </w:rPr>
        <w:t>行政复议和</w:t>
      </w:r>
      <w:r w:rsidR="00647532">
        <w:rPr>
          <w:rFonts w:ascii="Times New Roman" w:eastAsia="仿宋_GB2312" w:hAnsi="Times New Roman" w:cs="Times New Roman" w:hint="eastAsia"/>
          <w:sz w:val="32"/>
          <w:szCs w:val="32"/>
        </w:rPr>
        <w:t>提起</w:t>
      </w:r>
      <w:r>
        <w:rPr>
          <w:rFonts w:ascii="Times New Roman" w:eastAsia="仿宋_GB2312" w:hAnsi="Times New Roman" w:cs="Times New Roman"/>
          <w:sz w:val="32"/>
          <w:szCs w:val="32"/>
        </w:rPr>
        <w:t>行政诉讼情况、存在的主要问题及改进情况、其他需要报告的事项等六个部分。</w:t>
      </w:r>
    </w:p>
    <w:p w14:paraId="68EE10C8" w14:textId="77777777" w:rsidR="00812E9B" w:rsidRDefault="00000000">
      <w:pPr>
        <w:pStyle w:val="1"/>
        <w:numPr>
          <w:ilvl w:val="0"/>
          <w:numId w:val="1"/>
        </w:numPr>
        <w:spacing w:before="0" w:after="0" w:line="600" w:lineRule="exact"/>
        <w:ind w:left="0" w:firstLineChars="200" w:firstLine="640"/>
        <w:rPr>
          <w:rFonts w:ascii="Times New Roman" w:eastAsia="黑体" w:hAnsi="Times New Roman" w:cs="Times New Roman"/>
          <w:b w:val="0"/>
          <w:bCs w:val="0"/>
          <w:sz w:val="32"/>
          <w:szCs w:val="32"/>
        </w:rPr>
      </w:pPr>
      <w:r>
        <w:rPr>
          <w:rFonts w:ascii="Times New Roman" w:eastAsia="黑体" w:hAnsi="Times New Roman" w:cs="Times New Roman"/>
          <w:b w:val="0"/>
          <w:bCs w:val="0"/>
          <w:sz w:val="32"/>
          <w:szCs w:val="32"/>
        </w:rPr>
        <w:t>总体情况</w:t>
      </w:r>
    </w:p>
    <w:p w14:paraId="1006B54E"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年，山东省</w:t>
      </w:r>
      <w:r>
        <w:rPr>
          <w:rFonts w:ascii="Times New Roman" w:eastAsia="仿宋_GB2312" w:hAnsi="Times New Roman" w:cs="Times New Roman" w:hint="eastAsia"/>
          <w:sz w:val="32"/>
          <w:szCs w:val="32"/>
        </w:rPr>
        <w:t>坚持</w:t>
      </w:r>
      <w:r>
        <w:rPr>
          <w:rFonts w:ascii="Times New Roman" w:eastAsia="仿宋_GB2312" w:hAnsi="Times New Roman" w:cs="Times New Roman"/>
          <w:sz w:val="32"/>
          <w:szCs w:val="32"/>
        </w:rPr>
        <w:t>以习近平新时代中国特色社会主义思想为指导，全面贯彻落实党的二十大精神，深入贯彻习近平总书记对山东工作的重要指示要求，</w:t>
      </w:r>
      <w:r>
        <w:rPr>
          <w:rFonts w:ascii="Times New Roman" w:eastAsia="仿宋_GB2312" w:hAnsi="Times New Roman" w:cs="Times New Roman" w:hint="eastAsia"/>
          <w:sz w:val="32"/>
          <w:szCs w:val="32"/>
        </w:rPr>
        <w:t>锚定“走在前、开新局”，</w:t>
      </w:r>
      <w:r>
        <w:rPr>
          <w:rFonts w:ascii="Times New Roman" w:eastAsia="仿宋_GB2312" w:hAnsi="Times New Roman" w:cs="Times New Roman"/>
          <w:sz w:val="32"/>
          <w:szCs w:val="32"/>
        </w:rPr>
        <w:t>坚持围绕中心、服务大局，持续提升政务公开标准化、规范化和信息化水平，助力打造法治政府、服务型政府、效能政府、数字政府、廉洁政府，为新时代社会主义现代化强省建设做出新贡献。</w:t>
      </w:r>
    </w:p>
    <w:p w14:paraId="6C663358" w14:textId="77777777" w:rsidR="00812E9B" w:rsidRDefault="00000000">
      <w:pPr>
        <w:pStyle w:val="2"/>
        <w:numPr>
          <w:ilvl w:val="0"/>
          <w:numId w:val="2"/>
        </w:numPr>
        <w:spacing w:before="0" w:after="0" w:line="600" w:lineRule="exact"/>
        <w:ind w:left="0" w:firstLineChars="200" w:firstLine="643"/>
        <w:rPr>
          <w:rFonts w:ascii="Times New Roman" w:eastAsia="楷体_GB2312" w:hAnsi="Times New Roman" w:cs="Times New Roman"/>
        </w:rPr>
      </w:pPr>
      <w:r>
        <w:rPr>
          <w:rFonts w:ascii="Times New Roman" w:eastAsia="楷体_GB2312" w:hAnsi="Times New Roman" w:cs="Times New Roman"/>
        </w:rPr>
        <w:t>主动公开</w:t>
      </w:r>
    </w:p>
    <w:p w14:paraId="27CCB826"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年，省政府和各市级政府共制发规章</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件，废止</w:t>
      </w:r>
      <w:r>
        <w:rPr>
          <w:rFonts w:ascii="Times New Roman" w:eastAsia="仿宋_GB2312" w:hAnsi="Times New Roman" w:cs="Times New Roman"/>
          <w:sz w:val="32"/>
          <w:szCs w:val="32"/>
        </w:rPr>
        <w:t>49</w:t>
      </w:r>
      <w:r>
        <w:rPr>
          <w:rFonts w:ascii="Times New Roman" w:eastAsia="仿宋_GB2312" w:hAnsi="Times New Roman" w:cs="Times New Roman"/>
          <w:sz w:val="32"/>
          <w:szCs w:val="32"/>
        </w:rPr>
        <w:t>件；全省各级政府及部门共制发行政规范性文件</w:t>
      </w:r>
      <w:r>
        <w:rPr>
          <w:rFonts w:ascii="Times New Roman" w:eastAsia="仿宋_GB2312" w:hAnsi="Times New Roman" w:cs="Times New Roman"/>
          <w:sz w:val="32"/>
          <w:szCs w:val="32"/>
        </w:rPr>
        <w:t>1348</w:t>
      </w:r>
      <w:r>
        <w:rPr>
          <w:rFonts w:ascii="Times New Roman" w:eastAsia="仿宋_GB2312" w:hAnsi="Times New Roman" w:cs="Times New Roman"/>
          <w:sz w:val="32"/>
          <w:szCs w:val="32"/>
        </w:rPr>
        <w:t>件，废止</w:t>
      </w:r>
      <w:r>
        <w:rPr>
          <w:rFonts w:ascii="Times New Roman" w:eastAsia="仿宋_GB2312" w:hAnsi="Times New Roman" w:cs="Times New Roman"/>
          <w:sz w:val="32"/>
          <w:szCs w:val="32"/>
        </w:rPr>
        <w:t xml:space="preserve"> 784</w:t>
      </w:r>
      <w:r>
        <w:rPr>
          <w:rFonts w:ascii="Times New Roman" w:eastAsia="仿宋_GB2312" w:hAnsi="Times New Roman" w:cs="Times New Roman"/>
          <w:sz w:val="32"/>
          <w:szCs w:val="32"/>
        </w:rPr>
        <w:t>件。及时公开疫情信息、检测结果和防控措施，</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年省级发布涉</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信息</w:t>
      </w:r>
      <w:r>
        <w:rPr>
          <w:rFonts w:ascii="Times New Roman" w:eastAsia="仿宋_GB2312" w:hAnsi="Times New Roman" w:cs="Times New Roman"/>
          <w:sz w:val="32"/>
          <w:szCs w:val="32"/>
        </w:rPr>
        <w:t>2600</w:t>
      </w:r>
      <w:r>
        <w:rPr>
          <w:rFonts w:ascii="Times New Roman" w:eastAsia="仿宋_GB2312" w:hAnsi="Times New Roman" w:cs="Times New Roman"/>
          <w:sz w:val="32"/>
          <w:szCs w:val="32"/>
        </w:rPr>
        <w:t>余条，通过省级</w:t>
      </w:r>
      <w:r>
        <w:rPr>
          <w:rFonts w:ascii="Times New Roman" w:eastAsia="仿宋_GB2312" w:hAnsi="Times New Roman" w:cs="Times New Roman"/>
          <w:sz w:val="32"/>
          <w:szCs w:val="32"/>
        </w:rPr>
        <w:t>12345</w:t>
      </w:r>
      <w:r>
        <w:rPr>
          <w:rFonts w:ascii="Times New Roman" w:eastAsia="仿宋_GB2312" w:hAnsi="Times New Roman" w:cs="Times New Roman"/>
          <w:sz w:val="32"/>
          <w:szCs w:val="32"/>
        </w:rPr>
        <w:t>政务服务便民热线等</w:t>
      </w:r>
      <w:r>
        <w:rPr>
          <w:rFonts w:ascii="Times New Roman" w:eastAsia="仿宋_GB2312" w:hAnsi="Times New Roman" w:cs="Times New Roman"/>
          <w:sz w:val="32"/>
          <w:szCs w:val="32"/>
        </w:rPr>
        <w:lastRenderedPageBreak/>
        <w:t>途径解答群众涉</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问题</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余万次。全面启动公共企事业单位信息公开工作，组织教育、卫生健康、环保等</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个领域公共企事业单位的</w:t>
      </w:r>
      <w:proofErr w:type="gramStart"/>
      <w:r>
        <w:rPr>
          <w:rFonts w:ascii="Times New Roman" w:eastAsia="仿宋_GB2312" w:hAnsi="Times New Roman" w:cs="Times New Roman"/>
          <w:sz w:val="32"/>
          <w:szCs w:val="32"/>
        </w:rPr>
        <w:t>省级行业</w:t>
      </w:r>
      <w:proofErr w:type="gramEnd"/>
      <w:r>
        <w:rPr>
          <w:rFonts w:ascii="Times New Roman" w:eastAsia="仿宋_GB2312" w:hAnsi="Times New Roman" w:cs="Times New Roman"/>
          <w:sz w:val="32"/>
          <w:szCs w:val="32"/>
        </w:rPr>
        <w:t>主管部门和市、县政府，分别在本级网站完成了公开平台建设，集中展示本级公共企事业单位信息。按时公开山东省国民经济和社会发展统计公报，每月发布全省经济和社会发展主要数据情况。及时发布财政预决算、政府采购、公务员招录等信息，定期发布环境监测、食品安全抽检等监管信息。积极推进政务服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一网通办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，全面</w:t>
      </w:r>
      <w:proofErr w:type="gramStart"/>
      <w:r>
        <w:rPr>
          <w:rFonts w:ascii="Times New Roman" w:eastAsia="仿宋_GB2312" w:hAnsi="Times New Roman" w:cs="Times New Roman"/>
          <w:sz w:val="32"/>
          <w:szCs w:val="32"/>
        </w:rPr>
        <w:t>提升网办深度</w:t>
      </w:r>
      <w:proofErr w:type="gramEnd"/>
      <w:r>
        <w:rPr>
          <w:rFonts w:ascii="Times New Roman" w:eastAsia="仿宋_GB2312" w:hAnsi="Times New Roman" w:cs="Times New Roman"/>
          <w:sz w:val="32"/>
          <w:szCs w:val="32"/>
        </w:rPr>
        <w:t>，全省政务服务事项网上可办率达到</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w:t>
      </w:r>
      <w:proofErr w:type="gramStart"/>
      <w:r>
        <w:rPr>
          <w:rFonts w:ascii="Times New Roman" w:eastAsia="仿宋_GB2312" w:hAnsi="Times New Roman" w:cs="Times New Roman"/>
          <w:sz w:val="32"/>
          <w:szCs w:val="32"/>
        </w:rPr>
        <w:t>全程网办</w:t>
      </w:r>
      <w:proofErr w:type="gramEnd"/>
      <w:r>
        <w:rPr>
          <w:rFonts w:ascii="Times New Roman" w:eastAsia="仿宋_GB2312" w:hAnsi="Times New Roman" w:cs="Times New Roman"/>
          <w:sz w:val="32"/>
          <w:szCs w:val="32"/>
        </w:rPr>
        <w:t>率超过</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w:t>
      </w:r>
    </w:p>
    <w:p w14:paraId="73C142F9" w14:textId="77777777" w:rsidR="00812E9B" w:rsidRDefault="00000000">
      <w:pPr>
        <w:pStyle w:val="2"/>
        <w:numPr>
          <w:ilvl w:val="0"/>
          <w:numId w:val="2"/>
        </w:numPr>
        <w:spacing w:before="0" w:after="0" w:line="600" w:lineRule="exact"/>
        <w:ind w:left="0" w:firstLineChars="200" w:firstLine="643"/>
        <w:rPr>
          <w:rFonts w:ascii="Times New Roman" w:eastAsia="楷体_GB2312" w:hAnsi="Times New Roman" w:cs="Times New Roman"/>
        </w:rPr>
      </w:pPr>
      <w:r>
        <w:rPr>
          <w:rFonts w:ascii="Times New Roman" w:eastAsia="楷体_GB2312" w:hAnsi="Times New Roman" w:cs="Times New Roman"/>
        </w:rPr>
        <w:t>依申请公开</w:t>
      </w:r>
    </w:p>
    <w:p w14:paraId="58333B00" w14:textId="77777777" w:rsidR="00812E9B" w:rsidRDefault="00000000">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年，全省各级政府和县级以上政府部门共</w:t>
      </w:r>
      <w:r>
        <w:rPr>
          <w:rFonts w:ascii="Times New Roman" w:eastAsia="仿宋_GB2312" w:hAnsi="Times New Roman" w:cs="Times New Roman"/>
          <w:kern w:val="0"/>
          <w:sz w:val="32"/>
          <w:szCs w:val="32"/>
        </w:rPr>
        <w:t>收到政府信息公开申请</w:t>
      </w:r>
      <w:r>
        <w:rPr>
          <w:rFonts w:ascii="Times New Roman" w:eastAsia="仿宋_GB2312" w:hAnsi="Times New Roman" w:cs="Times New Roman"/>
          <w:kern w:val="0"/>
          <w:sz w:val="32"/>
          <w:szCs w:val="32"/>
        </w:rPr>
        <w:t>39620</w:t>
      </w:r>
      <w:r>
        <w:rPr>
          <w:rFonts w:ascii="Times New Roman" w:eastAsia="仿宋_GB2312" w:hAnsi="Times New Roman" w:cs="Times New Roman"/>
          <w:kern w:val="0"/>
          <w:sz w:val="32"/>
          <w:szCs w:val="32"/>
        </w:rPr>
        <w:t>件，同比增长</w:t>
      </w:r>
      <w:r>
        <w:rPr>
          <w:rFonts w:ascii="Times New Roman" w:eastAsia="仿宋_GB2312" w:hAnsi="Times New Roman" w:cs="Times New Roman"/>
          <w:kern w:val="0"/>
          <w:sz w:val="32"/>
          <w:szCs w:val="32"/>
        </w:rPr>
        <w:t>9.7%</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办理政府信息公开申请</w:t>
      </w:r>
      <w:r>
        <w:rPr>
          <w:rFonts w:ascii="Times New Roman" w:eastAsia="仿宋_GB2312" w:hAnsi="Times New Roman" w:cs="Times New Roman"/>
          <w:sz w:val="32"/>
          <w:szCs w:val="32"/>
        </w:rPr>
        <w:t>39566</w:t>
      </w:r>
      <w:r>
        <w:rPr>
          <w:rFonts w:ascii="Times New Roman" w:eastAsia="仿宋_GB2312" w:hAnsi="Times New Roman" w:cs="Times New Roman"/>
          <w:sz w:val="32"/>
          <w:szCs w:val="32"/>
        </w:rPr>
        <w:t>件。其中，因依申请公开引发的行政复议案件</w:t>
      </w:r>
      <w:r>
        <w:rPr>
          <w:rFonts w:ascii="Times New Roman" w:eastAsia="仿宋_GB2312" w:hAnsi="Times New Roman" w:cs="Times New Roman"/>
          <w:sz w:val="32"/>
          <w:szCs w:val="32"/>
        </w:rPr>
        <w:t>1286</w:t>
      </w:r>
      <w:r>
        <w:rPr>
          <w:rFonts w:ascii="Times New Roman" w:eastAsia="仿宋_GB2312" w:hAnsi="Times New Roman" w:cs="Times New Roman"/>
          <w:sz w:val="32"/>
          <w:szCs w:val="32"/>
        </w:rPr>
        <w:t>件，行政诉讼案件</w:t>
      </w:r>
      <w:r>
        <w:rPr>
          <w:rFonts w:ascii="Times New Roman" w:eastAsia="仿宋_GB2312" w:hAnsi="Times New Roman" w:cs="Times New Roman"/>
          <w:sz w:val="32"/>
          <w:szCs w:val="32"/>
        </w:rPr>
        <w:t>1052</w:t>
      </w:r>
      <w:r>
        <w:rPr>
          <w:rFonts w:ascii="Times New Roman" w:eastAsia="仿宋_GB2312" w:hAnsi="Times New Roman" w:cs="Times New Roman"/>
          <w:sz w:val="32"/>
          <w:szCs w:val="32"/>
        </w:rPr>
        <w:t>件，所有案件均按照法定程序进行了办理，较好保障了企业和群众获取政府信息的权利。</w:t>
      </w:r>
    </w:p>
    <w:p w14:paraId="406B423F" w14:textId="77777777" w:rsidR="00812E9B" w:rsidRDefault="00000000">
      <w:pPr>
        <w:pStyle w:val="2"/>
        <w:numPr>
          <w:ilvl w:val="0"/>
          <w:numId w:val="2"/>
        </w:numPr>
        <w:spacing w:before="0" w:after="0" w:line="600" w:lineRule="exact"/>
        <w:ind w:left="0" w:firstLineChars="200" w:firstLine="643"/>
        <w:rPr>
          <w:rFonts w:ascii="Times New Roman" w:eastAsia="楷体_GB2312" w:hAnsi="Times New Roman" w:cs="Times New Roman"/>
        </w:rPr>
      </w:pPr>
      <w:r>
        <w:rPr>
          <w:rFonts w:ascii="Times New Roman" w:eastAsia="楷体_GB2312" w:hAnsi="Times New Roman" w:cs="Times New Roman"/>
        </w:rPr>
        <w:t>政府信息管理</w:t>
      </w:r>
    </w:p>
    <w:p w14:paraId="6DD93D28"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启动省内政府文件数据联通和汇聚工作，组织各级各部门收录数据</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万余条，梳理现行有效政府规章</w:t>
      </w:r>
      <w:r>
        <w:rPr>
          <w:rFonts w:ascii="Times New Roman" w:eastAsia="仿宋_GB2312" w:hAnsi="Times New Roman" w:cs="Times New Roman"/>
          <w:sz w:val="32"/>
          <w:szCs w:val="32"/>
        </w:rPr>
        <w:t>530</w:t>
      </w:r>
      <w:r>
        <w:rPr>
          <w:rFonts w:ascii="Times New Roman" w:eastAsia="仿宋_GB2312" w:hAnsi="Times New Roman" w:cs="Times New Roman"/>
          <w:sz w:val="32"/>
          <w:szCs w:val="32"/>
        </w:rPr>
        <w:t>件、行政规范性文件</w:t>
      </w:r>
      <w:r>
        <w:rPr>
          <w:rFonts w:ascii="Times New Roman" w:eastAsia="仿宋_GB2312" w:hAnsi="Times New Roman" w:cs="Times New Roman"/>
          <w:sz w:val="32"/>
          <w:szCs w:val="32"/>
        </w:rPr>
        <w:t>6902</w:t>
      </w:r>
      <w:r>
        <w:rPr>
          <w:rFonts w:ascii="Times New Roman" w:eastAsia="仿宋_GB2312" w:hAnsi="Times New Roman" w:cs="Times New Roman"/>
          <w:sz w:val="32"/>
          <w:szCs w:val="32"/>
        </w:rPr>
        <w:t>件，实现了集中公开、动态更新，构建起全省统一的政府文件公开平台。着眼优化营商环境，建立惠</w:t>
      </w:r>
      <w:proofErr w:type="gramStart"/>
      <w:r>
        <w:rPr>
          <w:rFonts w:ascii="Times New Roman" w:eastAsia="仿宋_GB2312" w:hAnsi="Times New Roman" w:cs="Times New Roman"/>
          <w:sz w:val="32"/>
          <w:szCs w:val="32"/>
        </w:rPr>
        <w:t>企政策</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一键匹配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应用场景，收录政策措施</w:t>
      </w:r>
      <w:r>
        <w:rPr>
          <w:rFonts w:ascii="Times New Roman" w:eastAsia="仿宋_GB2312" w:hAnsi="Times New Roman" w:cs="Times New Roman"/>
          <w:sz w:val="32"/>
          <w:szCs w:val="32"/>
        </w:rPr>
        <w:t>19.3</w:t>
      </w:r>
      <w:r>
        <w:rPr>
          <w:rFonts w:ascii="Times New Roman" w:eastAsia="仿宋_GB2312" w:hAnsi="Times New Roman" w:cs="Times New Roman"/>
          <w:sz w:val="32"/>
          <w:szCs w:val="32"/>
        </w:rPr>
        <w:t>万余条，为</w:t>
      </w:r>
      <w:r>
        <w:rPr>
          <w:rFonts w:ascii="Times New Roman" w:eastAsia="仿宋_GB2312" w:hAnsi="Times New Roman" w:cs="Times New Roman"/>
          <w:sz w:val="32"/>
          <w:szCs w:val="32"/>
        </w:rPr>
        <w:t>5100</w:t>
      </w:r>
      <w:r>
        <w:rPr>
          <w:rFonts w:ascii="Times New Roman" w:eastAsia="仿宋_GB2312" w:hAnsi="Times New Roman" w:cs="Times New Roman"/>
          <w:sz w:val="32"/>
          <w:szCs w:val="32"/>
        </w:rPr>
        <w:t>多家企业提供政策匹配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万余次，</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实现了政策的集成发布、智能查询和精准推送。</w:t>
      </w:r>
    </w:p>
    <w:p w14:paraId="420C124E" w14:textId="77777777" w:rsidR="00812E9B" w:rsidRDefault="00000000">
      <w:pPr>
        <w:pStyle w:val="2"/>
        <w:numPr>
          <w:ilvl w:val="0"/>
          <w:numId w:val="2"/>
        </w:numPr>
        <w:spacing w:before="0" w:after="0" w:line="600" w:lineRule="exact"/>
        <w:ind w:left="0" w:firstLineChars="200" w:firstLine="643"/>
        <w:rPr>
          <w:rFonts w:ascii="Times New Roman" w:eastAsia="楷体_GB2312" w:hAnsi="Times New Roman" w:cs="Times New Roman"/>
        </w:rPr>
      </w:pPr>
      <w:r>
        <w:rPr>
          <w:rFonts w:ascii="Times New Roman" w:eastAsia="楷体_GB2312" w:hAnsi="Times New Roman" w:cs="Times New Roman"/>
        </w:rPr>
        <w:lastRenderedPageBreak/>
        <w:t>政府信息公开平台建设</w:t>
      </w:r>
    </w:p>
    <w:p w14:paraId="64270E07"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扎实开展政府网站和政务新媒体季度检查和日常巡查监测工作，对表述错误、服务</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可用、认证不规范、信息不更新、互动不规范等问题进行重点排查。加强优质网站栏目和政务新媒体账号培育，强化宣传矩阵建设。</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月，国务院办公厅政府信息与政务公开办公室对全国地方层面</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个政务新媒体账号进行了通报表扬，我省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好客山东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今日头条号位列其中。省政府全年高质量编辑出版《山东省人民政府公报》</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期，印刷赠阅</w:t>
      </w:r>
      <w:r>
        <w:rPr>
          <w:rFonts w:ascii="Times New Roman" w:eastAsia="仿宋_GB2312" w:hAnsi="Times New Roman" w:cs="Times New Roman"/>
          <w:sz w:val="32"/>
          <w:szCs w:val="32"/>
        </w:rPr>
        <w:t>1276344</w:t>
      </w:r>
      <w:r>
        <w:rPr>
          <w:rFonts w:ascii="Times New Roman" w:eastAsia="仿宋_GB2312" w:hAnsi="Times New Roman" w:cs="Times New Roman"/>
          <w:sz w:val="32"/>
          <w:szCs w:val="32"/>
        </w:rPr>
        <w:t>册，准确发布省政府文件</w:t>
      </w:r>
      <w:r>
        <w:rPr>
          <w:rFonts w:ascii="Times New Roman" w:eastAsia="仿宋_GB2312" w:hAnsi="Times New Roman" w:cs="Times New Roman"/>
          <w:sz w:val="32"/>
          <w:szCs w:val="32"/>
        </w:rPr>
        <w:t>155</w:t>
      </w:r>
      <w:r>
        <w:rPr>
          <w:rFonts w:ascii="Times New Roman" w:eastAsia="仿宋_GB2312" w:hAnsi="Times New Roman" w:cs="Times New Roman"/>
          <w:sz w:val="32"/>
          <w:szCs w:val="32"/>
        </w:rPr>
        <w:t>件、省政府办公厅文件</w:t>
      </w:r>
      <w:r>
        <w:rPr>
          <w:rFonts w:ascii="Times New Roman" w:eastAsia="仿宋_GB2312" w:hAnsi="Times New Roman" w:cs="Times New Roman"/>
          <w:sz w:val="32"/>
          <w:szCs w:val="32"/>
        </w:rPr>
        <w:t>88</w:t>
      </w:r>
      <w:r>
        <w:rPr>
          <w:rFonts w:ascii="Times New Roman" w:eastAsia="仿宋_GB2312" w:hAnsi="Times New Roman" w:cs="Times New Roman"/>
          <w:sz w:val="32"/>
          <w:szCs w:val="32"/>
        </w:rPr>
        <w:t>件、部门行政规范性文件</w:t>
      </w:r>
      <w:r>
        <w:rPr>
          <w:rFonts w:ascii="Times New Roman" w:eastAsia="仿宋_GB2312" w:hAnsi="Times New Roman" w:cs="Times New Roman"/>
          <w:sz w:val="32"/>
          <w:szCs w:val="32"/>
        </w:rPr>
        <w:t>174</w:t>
      </w:r>
      <w:r>
        <w:rPr>
          <w:rFonts w:ascii="Times New Roman" w:eastAsia="仿宋_GB2312" w:hAnsi="Times New Roman" w:cs="Times New Roman"/>
          <w:sz w:val="32"/>
          <w:szCs w:val="32"/>
        </w:rPr>
        <w:t>件。全省</w:t>
      </w:r>
      <w:r>
        <w:rPr>
          <w:rFonts w:ascii="Times New Roman" w:eastAsia="仿宋_GB2312" w:hAnsi="Times New Roman" w:cs="Times New Roman"/>
          <w:sz w:val="32"/>
          <w:szCs w:val="32"/>
        </w:rPr>
        <w:t>12345</w:t>
      </w:r>
      <w:r>
        <w:rPr>
          <w:rFonts w:ascii="Times New Roman" w:eastAsia="仿宋_GB2312" w:hAnsi="Times New Roman" w:cs="Times New Roman"/>
          <w:sz w:val="32"/>
          <w:szCs w:val="32"/>
        </w:rPr>
        <w:t>政务服务便民热线全年共受理企业群众来电来件</w:t>
      </w:r>
      <w:r>
        <w:rPr>
          <w:rFonts w:ascii="Times New Roman" w:eastAsia="仿宋_GB2312" w:hAnsi="Times New Roman" w:cs="Times New Roman"/>
          <w:sz w:val="32"/>
          <w:szCs w:val="32"/>
        </w:rPr>
        <w:t>5526.27</w:t>
      </w:r>
      <w:r>
        <w:rPr>
          <w:rFonts w:ascii="Times New Roman" w:eastAsia="仿宋_GB2312" w:hAnsi="Times New Roman" w:cs="Times New Roman"/>
          <w:sz w:val="32"/>
          <w:szCs w:val="32"/>
        </w:rPr>
        <w:t>万件。其中，热线即时答复办理</w:t>
      </w:r>
      <w:r>
        <w:rPr>
          <w:rFonts w:ascii="Times New Roman" w:eastAsia="仿宋_GB2312" w:hAnsi="Times New Roman" w:cs="Times New Roman"/>
          <w:sz w:val="32"/>
          <w:szCs w:val="32"/>
        </w:rPr>
        <w:t>3723.52</w:t>
      </w:r>
      <w:r>
        <w:rPr>
          <w:rFonts w:ascii="Times New Roman" w:eastAsia="仿宋_GB2312" w:hAnsi="Times New Roman" w:cs="Times New Roman"/>
          <w:sz w:val="32"/>
          <w:szCs w:val="32"/>
        </w:rPr>
        <w:t>万件，转承办单位办理</w:t>
      </w:r>
      <w:r>
        <w:rPr>
          <w:rFonts w:ascii="Times New Roman" w:eastAsia="仿宋_GB2312" w:hAnsi="Times New Roman" w:cs="Times New Roman"/>
          <w:sz w:val="32"/>
          <w:szCs w:val="32"/>
        </w:rPr>
        <w:t>1802.75</w:t>
      </w:r>
      <w:r>
        <w:rPr>
          <w:rFonts w:ascii="Times New Roman" w:eastAsia="仿宋_GB2312" w:hAnsi="Times New Roman" w:cs="Times New Roman"/>
          <w:sz w:val="32"/>
          <w:szCs w:val="32"/>
        </w:rPr>
        <w:t>万件，按时办理率</w:t>
      </w:r>
      <w:r>
        <w:rPr>
          <w:rFonts w:ascii="Times New Roman" w:eastAsia="仿宋_GB2312" w:hAnsi="Times New Roman" w:cs="Times New Roman"/>
          <w:sz w:val="32"/>
          <w:szCs w:val="32"/>
        </w:rPr>
        <w:t>99.32%</w:t>
      </w:r>
      <w:r>
        <w:rPr>
          <w:rFonts w:ascii="Times New Roman" w:eastAsia="仿宋_GB2312" w:hAnsi="Times New Roman" w:cs="Times New Roman"/>
          <w:sz w:val="32"/>
          <w:szCs w:val="32"/>
        </w:rPr>
        <w:t>，服务满意率</w:t>
      </w:r>
      <w:r>
        <w:rPr>
          <w:rFonts w:ascii="Times New Roman" w:eastAsia="仿宋_GB2312" w:hAnsi="Times New Roman" w:cs="Times New Roman"/>
          <w:sz w:val="32"/>
          <w:szCs w:val="32"/>
        </w:rPr>
        <w:t>99.21%</w:t>
      </w:r>
      <w:r>
        <w:rPr>
          <w:rFonts w:ascii="Times New Roman" w:eastAsia="仿宋_GB2312" w:hAnsi="Times New Roman" w:cs="Times New Roman"/>
          <w:sz w:val="32"/>
          <w:szCs w:val="32"/>
        </w:rPr>
        <w:t>，问题解决率</w:t>
      </w:r>
      <w:r>
        <w:rPr>
          <w:rFonts w:ascii="Times New Roman" w:eastAsia="仿宋_GB2312" w:hAnsi="Times New Roman" w:cs="Times New Roman"/>
          <w:sz w:val="32"/>
          <w:szCs w:val="32"/>
        </w:rPr>
        <w:t>94.77%</w:t>
      </w:r>
      <w:r>
        <w:rPr>
          <w:rFonts w:ascii="Times New Roman" w:eastAsia="仿宋_GB2312" w:hAnsi="Times New Roman" w:cs="Times New Roman"/>
          <w:sz w:val="32"/>
          <w:szCs w:val="32"/>
        </w:rPr>
        <w:t>。</w:t>
      </w:r>
    </w:p>
    <w:p w14:paraId="49521EA0" w14:textId="77777777" w:rsidR="00812E9B" w:rsidRDefault="00000000">
      <w:pPr>
        <w:pStyle w:val="2"/>
        <w:numPr>
          <w:ilvl w:val="0"/>
          <w:numId w:val="2"/>
        </w:numPr>
        <w:spacing w:before="0" w:after="0" w:line="600" w:lineRule="exact"/>
        <w:ind w:left="0" w:firstLineChars="200" w:firstLine="643"/>
        <w:rPr>
          <w:rFonts w:ascii="Times New Roman" w:eastAsia="楷体_GB2312" w:hAnsi="Times New Roman" w:cs="Times New Roman"/>
        </w:rPr>
      </w:pPr>
      <w:r>
        <w:rPr>
          <w:rFonts w:ascii="Times New Roman" w:eastAsia="楷体_GB2312" w:hAnsi="Times New Roman" w:cs="Times New Roman"/>
        </w:rPr>
        <w:t>监督保障</w:t>
      </w:r>
    </w:p>
    <w:p w14:paraId="6E6DB22B"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举办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年省属公共企事业单位及行业主管部门分管信息公开负责人专题研讨培训班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。结合全省政府办公厅系统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作风能力提升专项行动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，对以往评估考核方式予以调整完善，下发《</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年山东省政务公开第三方评估工作实施方案》，采用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日常抽测、季度检查、年度评估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相结合的方式对全省政务公开工作进行常态化监管。</w:t>
      </w:r>
    </w:p>
    <w:p w14:paraId="015917DB" w14:textId="77777777" w:rsidR="00812E9B" w:rsidRDefault="00812E9B">
      <w:pPr>
        <w:spacing w:line="600" w:lineRule="exact"/>
        <w:ind w:firstLineChars="200" w:firstLine="640"/>
        <w:rPr>
          <w:rFonts w:ascii="Times New Roman" w:eastAsia="仿宋_GB2312" w:hAnsi="Times New Roman" w:cs="Times New Roman"/>
          <w:sz w:val="32"/>
          <w:szCs w:val="32"/>
        </w:rPr>
      </w:pPr>
    </w:p>
    <w:p w14:paraId="51F4E654" w14:textId="77777777" w:rsidR="00812E9B" w:rsidRDefault="00812E9B">
      <w:pPr>
        <w:spacing w:line="600" w:lineRule="exact"/>
        <w:ind w:firstLineChars="200" w:firstLine="640"/>
        <w:rPr>
          <w:rFonts w:ascii="Times New Roman" w:eastAsia="仿宋_GB2312" w:hAnsi="Times New Roman" w:cs="Times New Roman"/>
          <w:sz w:val="32"/>
          <w:szCs w:val="32"/>
        </w:rPr>
      </w:pPr>
    </w:p>
    <w:p w14:paraId="3B350014" w14:textId="77777777" w:rsidR="00812E9B" w:rsidRDefault="00000000">
      <w:pPr>
        <w:pStyle w:val="1"/>
        <w:numPr>
          <w:ilvl w:val="0"/>
          <w:numId w:val="1"/>
        </w:numPr>
        <w:spacing w:before="0" w:after="0" w:line="600" w:lineRule="exact"/>
        <w:ind w:left="0" w:firstLineChars="200" w:firstLine="640"/>
        <w:rPr>
          <w:rFonts w:ascii="Times New Roman" w:eastAsia="黑体" w:hAnsi="Times New Roman" w:cs="Times New Roman"/>
          <w:b w:val="0"/>
          <w:bCs w:val="0"/>
          <w:sz w:val="32"/>
          <w:szCs w:val="32"/>
        </w:rPr>
      </w:pPr>
      <w:r>
        <w:rPr>
          <w:rFonts w:ascii="Times New Roman" w:eastAsia="黑体" w:hAnsi="Times New Roman" w:cs="Times New Roman"/>
          <w:b w:val="0"/>
          <w:bCs w:val="0"/>
          <w:sz w:val="32"/>
          <w:szCs w:val="32"/>
        </w:rPr>
        <w:lastRenderedPageBreak/>
        <w:t>主动公开政府信息情况</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2208"/>
        <w:gridCol w:w="2209"/>
        <w:gridCol w:w="2209"/>
      </w:tblGrid>
      <w:tr w:rsidR="00812E9B" w14:paraId="6929C105" w14:textId="77777777">
        <w:trPr>
          <w:trHeight w:val="567"/>
        </w:trPr>
        <w:tc>
          <w:tcPr>
            <w:tcW w:w="8834" w:type="dxa"/>
            <w:gridSpan w:val="4"/>
            <w:shd w:val="clear" w:color="000000" w:fill="C6D9F1"/>
            <w:vAlign w:val="center"/>
          </w:tcPr>
          <w:p w14:paraId="7B50E337" w14:textId="77777777" w:rsidR="00812E9B" w:rsidRDefault="00000000">
            <w:pPr>
              <w:widowControl/>
              <w:spacing w:line="6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第二十条第（一）项</w:t>
            </w:r>
          </w:p>
        </w:tc>
      </w:tr>
      <w:tr w:rsidR="00812E9B" w14:paraId="2829D07A" w14:textId="77777777">
        <w:trPr>
          <w:trHeight w:val="567"/>
        </w:trPr>
        <w:tc>
          <w:tcPr>
            <w:tcW w:w="2208" w:type="dxa"/>
            <w:shd w:val="clear" w:color="auto" w:fill="auto"/>
            <w:vAlign w:val="center"/>
          </w:tcPr>
          <w:p w14:paraId="01DEC964"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信息内容</w:t>
            </w:r>
          </w:p>
        </w:tc>
        <w:tc>
          <w:tcPr>
            <w:tcW w:w="2208" w:type="dxa"/>
            <w:shd w:val="clear" w:color="auto" w:fill="auto"/>
            <w:vAlign w:val="center"/>
          </w:tcPr>
          <w:p w14:paraId="5AE0BC5F"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本年制发件数</w:t>
            </w:r>
          </w:p>
        </w:tc>
        <w:tc>
          <w:tcPr>
            <w:tcW w:w="2209" w:type="dxa"/>
            <w:shd w:val="clear" w:color="auto" w:fill="auto"/>
            <w:vAlign w:val="center"/>
          </w:tcPr>
          <w:p w14:paraId="7AA76772"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本年废止件数</w:t>
            </w:r>
          </w:p>
        </w:tc>
        <w:tc>
          <w:tcPr>
            <w:tcW w:w="2209" w:type="dxa"/>
            <w:shd w:val="clear" w:color="auto" w:fill="auto"/>
            <w:vAlign w:val="center"/>
          </w:tcPr>
          <w:p w14:paraId="03387694"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现行有效件数</w:t>
            </w:r>
          </w:p>
        </w:tc>
      </w:tr>
      <w:tr w:rsidR="00812E9B" w14:paraId="6EFBD422" w14:textId="77777777">
        <w:trPr>
          <w:trHeight w:val="567"/>
        </w:trPr>
        <w:tc>
          <w:tcPr>
            <w:tcW w:w="2208" w:type="dxa"/>
            <w:shd w:val="clear" w:color="auto" w:fill="auto"/>
            <w:vAlign w:val="center"/>
          </w:tcPr>
          <w:p w14:paraId="672FA173"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规章</w:t>
            </w:r>
          </w:p>
        </w:tc>
        <w:tc>
          <w:tcPr>
            <w:tcW w:w="2208" w:type="dxa"/>
            <w:shd w:val="clear" w:color="auto" w:fill="auto"/>
            <w:vAlign w:val="center"/>
          </w:tcPr>
          <w:p w14:paraId="2951B469"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41</w:t>
            </w:r>
          </w:p>
        </w:tc>
        <w:tc>
          <w:tcPr>
            <w:tcW w:w="2209" w:type="dxa"/>
            <w:shd w:val="clear" w:color="auto" w:fill="auto"/>
            <w:vAlign w:val="center"/>
          </w:tcPr>
          <w:p w14:paraId="3E82EEBF"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49</w:t>
            </w:r>
          </w:p>
        </w:tc>
        <w:tc>
          <w:tcPr>
            <w:tcW w:w="2209" w:type="dxa"/>
            <w:shd w:val="clear" w:color="auto" w:fill="auto"/>
            <w:vAlign w:val="center"/>
          </w:tcPr>
          <w:p w14:paraId="400DDD9E"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530</w:t>
            </w:r>
          </w:p>
        </w:tc>
      </w:tr>
      <w:tr w:rsidR="00812E9B" w14:paraId="4B3CC104" w14:textId="77777777">
        <w:trPr>
          <w:trHeight w:val="567"/>
        </w:trPr>
        <w:tc>
          <w:tcPr>
            <w:tcW w:w="2208" w:type="dxa"/>
            <w:shd w:val="clear" w:color="auto" w:fill="auto"/>
            <w:vAlign w:val="center"/>
          </w:tcPr>
          <w:p w14:paraId="4E05FF1B"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行政规范性文件</w:t>
            </w:r>
          </w:p>
        </w:tc>
        <w:tc>
          <w:tcPr>
            <w:tcW w:w="2208" w:type="dxa"/>
            <w:shd w:val="clear" w:color="auto" w:fill="auto"/>
            <w:vAlign w:val="center"/>
          </w:tcPr>
          <w:p w14:paraId="5718983B"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1348</w:t>
            </w:r>
          </w:p>
        </w:tc>
        <w:tc>
          <w:tcPr>
            <w:tcW w:w="2209" w:type="dxa"/>
            <w:shd w:val="clear" w:color="auto" w:fill="auto"/>
            <w:vAlign w:val="center"/>
          </w:tcPr>
          <w:p w14:paraId="6594FF13"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784</w:t>
            </w:r>
          </w:p>
        </w:tc>
        <w:tc>
          <w:tcPr>
            <w:tcW w:w="2209" w:type="dxa"/>
            <w:shd w:val="clear" w:color="auto" w:fill="auto"/>
            <w:vAlign w:val="center"/>
          </w:tcPr>
          <w:p w14:paraId="200A6E78"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6902</w:t>
            </w:r>
          </w:p>
        </w:tc>
      </w:tr>
      <w:tr w:rsidR="00812E9B" w14:paraId="5D56BB39" w14:textId="77777777">
        <w:trPr>
          <w:trHeight w:val="567"/>
        </w:trPr>
        <w:tc>
          <w:tcPr>
            <w:tcW w:w="8834" w:type="dxa"/>
            <w:gridSpan w:val="4"/>
            <w:shd w:val="clear" w:color="000000" w:fill="C6D9F1"/>
            <w:vAlign w:val="center"/>
          </w:tcPr>
          <w:p w14:paraId="74C5A4F8" w14:textId="77777777" w:rsidR="00812E9B" w:rsidRDefault="00000000">
            <w:pPr>
              <w:widowControl/>
              <w:spacing w:line="6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第二十条第（五）项</w:t>
            </w:r>
          </w:p>
        </w:tc>
      </w:tr>
      <w:tr w:rsidR="00812E9B" w14:paraId="2B824E8E" w14:textId="77777777">
        <w:trPr>
          <w:trHeight w:val="567"/>
        </w:trPr>
        <w:tc>
          <w:tcPr>
            <w:tcW w:w="2208" w:type="dxa"/>
            <w:shd w:val="clear" w:color="auto" w:fill="auto"/>
            <w:vAlign w:val="center"/>
          </w:tcPr>
          <w:p w14:paraId="635960BB"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信息内容</w:t>
            </w:r>
          </w:p>
        </w:tc>
        <w:tc>
          <w:tcPr>
            <w:tcW w:w="6626" w:type="dxa"/>
            <w:gridSpan w:val="3"/>
            <w:shd w:val="clear" w:color="auto" w:fill="auto"/>
            <w:vAlign w:val="center"/>
          </w:tcPr>
          <w:p w14:paraId="76E0DCC4"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本年处理决定数量</w:t>
            </w:r>
          </w:p>
        </w:tc>
      </w:tr>
      <w:tr w:rsidR="00812E9B" w14:paraId="7A258709" w14:textId="77777777">
        <w:trPr>
          <w:trHeight w:val="567"/>
        </w:trPr>
        <w:tc>
          <w:tcPr>
            <w:tcW w:w="2208" w:type="dxa"/>
            <w:shd w:val="clear" w:color="auto" w:fill="auto"/>
            <w:vAlign w:val="center"/>
          </w:tcPr>
          <w:p w14:paraId="410C6119"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行政许可</w:t>
            </w:r>
          </w:p>
        </w:tc>
        <w:tc>
          <w:tcPr>
            <w:tcW w:w="6626" w:type="dxa"/>
            <w:gridSpan w:val="3"/>
            <w:shd w:val="clear" w:color="auto" w:fill="auto"/>
            <w:vAlign w:val="center"/>
          </w:tcPr>
          <w:p w14:paraId="12F5C8D0"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33468100</w:t>
            </w:r>
          </w:p>
        </w:tc>
      </w:tr>
      <w:tr w:rsidR="00812E9B" w14:paraId="6473F5E0" w14:textId="77777777">
        <w:trPr>
          <w:trHeight w:val="567"/>
        </w:trPr>
        <w:tc>
          <w:tcPr>
            <w:tcW w:w="8834" w:type="dxa"/>
            <w:gridSpan w:val="4"/>
            <w:shd w:val="clear" w:color="000000" w:fill="C6D9F1"/>
            <w:vAlign w:val="center"/>
          </w:tcPr>
          <w:p w14:paraId="0CBA5C4F" w14:textId="77777777" w:rsidR="00812E9B" w:rsidRDefault="00000000">
            <w:pPr>
              <w:widowControl/>
              <w:spacing w:line="6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第二十条第（六）项</w:t>
            </w:r>
          </w:p>
        </w:tc>
      </w:tr>
      <w:tr w:rsidR="00812E9B" w14:paraId="5AA9F1AB" w14:textId="77777777">
        <w:trPr>
          <w:trHeight w:val="567"/>
        </w:trPr>
        <w:tc>
          <w:tcPr>
            <w:tcW w:w="2208" w:type="dxa"/>
            <w:shd w:val="clear" w:color="auto" w:fill="auto"/>
            <w:vAlign w:val="center"/>
          </w:tcPr>
          <w:p w14:paraId="4FAC6E89"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信息内容</w:t>
            </w:r>
          </w:p>
        </w:tc>
        <w:tc>
          <w:tcPr>
            <w:tcW w:w="6626" w:type="dxa"/>
            <w:gridSpan w:val="3"/>
            <w:shd w:val="clear" w:color="auto" w:fill="auto"/>
            <w:vAlign w:val="center"/>
          </w:tcPr>
          <w:p w14:paraId="251967A5"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本年处理决定数量</w:t>
            </w:r>
          </w:p>
        </w:tc>
      </w:tr>
      <w:tr w:rsidR="00812E9B" w14:paraId="0838A207" w14:textId="77777777">
        <w:trPr>
          <w:trHeight w:val="567"/>
        </w:trPr>
        <w:tc>
          <w:tcPr>
            <w:tcW w:w="2208" w:type="dxa"/>
            <w:shd w:val="clear" w:color="auto" w:fill="auto"/>
            <w:vAlign w:val="center"/>
          </w:tcPr>
          <w:p w14:paraId="44A906F6"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行政处罚</w:t>
            </w:r>
          </w:p>
        </w:tc>
        <w:tc>
          <w:tcPr>
            <w:tcW w:w="6626" w:type="dxa"/>
            <w:gridSpan w:val="3"/>
            <w:shd w:val="clear" w:color="auto" w:fill="auto"/>
            <w:vAlign w:val="center"/>
          </w:tcPr>
          <w:p w14:paraId="237CDD0B"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32695134</w:t>
            </w:r>
          </w:p>
        </w:tc>
      </w:tr>
      <w:tr w:rsidR="00812E9B" w14:paraId="40280ED2" w14:textId="77777777">
        <w:trPr>
          <w:trHeight w:val="567"/>
        </w:trPr>
        <w:tc>
          <w:tcPr>
            <w:tcW w:w="2208" w:type="dxa"/>
            <w:shd w:val="clear" w:color="auto" w:fill="auto"/>
            <w:vAlign w:val="center"/>
          </w:tcPr>
          <w:p w14:paraId="7FAC8E67"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行政强制</w:t>
            </w:r>
          </w:p>
        </w:tc>
        <w:tc>
          <w:tcPr>
            <w:tcW w:w="6626" w:type="dxa"/>
            <w:gridSpan w:val="3"/>
            <w:shd w:val="clear" w:color="auto" w:fill="auto"/>
            <w:vAlign w:val="center"/>
          </w:tcPr>
          <w:p w14:paraId="19DFF789"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2463990</w:t>
            </w:r>
          </w:p>
        </w:tc>
      </w:tr>
      <w:tr w:rsidR="00812E9B" w14:paraId="743A1379" w14:textId="77777777">
        <w:trPr>
          <w:trHeight w:val="567"/>
        </w:trPr>
        <w:tc>
          <w:tcPr>
            <w:tcW w:w="8834" w:type="dxa"/>
            <w:gridSpan w:val="4"/>
            <w:shd w:val="clear" w:color="000000" w:fill="C6D9F1"/>
            <w:vAlign w:val="center"/>
          </w:tcPr>
          <w:p w14:paraId="5BCD7623" w14:textId="77777777" w:rsidR="00812E9B" w:rsidRDefault="00000000">
            <w:pPr>
              <w:widowControl/>
              <w:spacing w:line="6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第二十条第（八）项</w:t>
            </w:r>
          </w:p>
        </w:tc>
      </w:tr>
      <w:tr w:rsidR="00812E9B" w14:paraId="3C08EAB8" w14:textId="77777777">
        <w:trPr>
          <w:trHeight w:val="567"/>
        </w:trPr>
        <w:tc>
          <w:tcPr>
            <w:tcW w:w="2208" w:type="dxa"/>
            <w:shd w:val="clear" w:color="auto" w:fill="auto"/>
            <w:vAlign w:val="center"/>
          </w:tcPr>
          <w:p w14:paraId="730A0556"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信息内容</w:t>
            </w:r>
          </w:p>
        </w:tc>
        <w:tc>
          <w:tcPr>
            <w:tcW w:w="6626" w:type="dxa"/>
            <w:gridSpan w:val="3"/>
            <w:shd w:val="clear" w:color="auto" w:fill="auto"/>
            <w:vAlign w:val="center"/>
          </w:tcPr>
          <w:p w14:paraId="627BA229"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本年收费金额（单位：万元）</w:t>
            </w:r>
          </w:p>
        </w:tc>
      </w:tr>
      <w:tr w:rsidR="00812E9B" w14:paraId="762B87EF" w14:textId="77777777">
        <w:trPr>
          <w:trHeight w:val="567"/>
        </w:trPr>
        <w:tc>
          <w:tcPr>
            <w:tcW w:w="2208" w:type="dxa"/>
            <w:shd w:val="clear" w:color="auto" w:fill="auto"/>
            <w:vAlign w:val="center"/>
          </w:tcPr>
          <w:p w14:paraId="3D2156EE"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行政事业性收费</w:t>
            </w:r>
          </w:p>
        </w:tc>
        <w:tc>
          <w:tcPr>
            <w:tcW w:w="6626" w:type="dxa"/>
            <w:gridSpan w:val="3"/>
            <w:shd w:val="clear" w:color="auto" w:fill="auto"/>
            <w:vAlign w:val="center"/>
          </w:tcPr>
          <w:p w14:paraId="4310CA3E" w14:textId="77777777" w:rsidR="00812E9B" w:rsidRDefault="00000000">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3055520.3</w:t>
            </w:r>
          </w:p>
        </w:tc>
      </w:tr>
    </w:tbl>
    <w:p w14:paraId="7F0ACCBD" w14:textId="77777777" w:rsidR="00812E9B" w:rsidRDefault="00000000">
      <w:pPr>
        <w:pStyle w:val="1"/>
        <w:numPr>
          <w:ilvl w:val="0"/>
          <w:numId w:val="1"/>
        </w:numPr>
        <w:spacing w:before="0" w:after="0" w:line="600" w:lineRule="exact"/>
        <w:ind w:left="0" w:firstLineChars="200" w:firstLine="640"/>
        <w:rPr>
          <w:rFonts w:ascii="Times New Roman" w:eastAsia="黑体" w:hAnsi="Times New Roman" w:cs="Times New Roman"/>
          <w:b w:val="0"/>
          <w:bCs w:val="0"/>
          <w:sz w:val="32"/>
          <w:szCs w:val="32"/>
        </w:rPr>
      </w:pPr>
      <w:r>
        <w:rPr>
          <w:rFonts w:ascii="Times New Roman" w:eastAsia="黑体" w:hAnsi="Times New Roman" w:cs="Times New Roman"/>
          <w:b w:val="0"/>
          <w:bCs w:val="0"/>
          <w:sz w:val="32"/>
          <w:szCs w:val="32"/>
        </w:rPr>
        <w:t>收到和处理政府信息公开申请情况</w:t>
      </w: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
        <w:gridCol w:w="1701"/>
        <w:gridCol w:w="2976"/>
        <w:gridCol w:w="829"/>
        <w:gridCol w:w="567"/>
        <w:gridCol w:w="567"/>
        <w:gridCol w:w="731"/>
        <w:gridCol w:w="708"/>
        <w:gridCol w:w="567"/>
        <w:gridCol w:w="851"/>
      </w:tblGrid>
      <w:tr w:rsidR="00812E9B" w14:paraId="0C7FDC3C" w14:textId="77777777">
        <w:trPr>
          <w:trHeight w:val="413"/>
          <w:jc w:val="center"/>
        </w:trPr>
        <w:tc>
          <w:tcPr>
            <w:tcW w:w="5093" w:type="dxa"/>
            <w:gridSpan w:val="3"/>
            <w:vMerge w:val="restart"/>
            <w:shd w:val="clear" w:color="auto" w:fill="auto"/>
            <w:tcMar>
              <w:left w:w="108" w:type="dxa"/>
              <w:right w:w="108" w:type="dxa"/>
            </w:tcMar>
            <w:vAlign w:val="center"/>
          </w:tcPr>
          <w:p w14:paraId="5C5D64AC" w14:textId="77777777" w:rsidR="00812E9B" w:rsidRDefault="00000000">
            <w:pPr>
              <w:widowControl/>
              <w:spacing w:line="600" w:lineRule="exact"/>
              <w:jc w:val="center"/>
              <w:rPr>
                <w:rFonts w:ascii="Times New Roman" w:eastAsia="楷体_GB2312" w:hAnsi="Times New Roman" w:cs="Times New Roman"/>
                <w:kern w:val="0"/>
                <w:szCs w:val="21"/>
              </w:rPr>
            </w:pPr>
            <w:r>
              <w:rPr>
                <w:rFonts w:ascii="Times New Roman" w:eastAsia="楷体_GB2312" w:hAnsi="Times New Roman" w:cs="Times New Roman"/>
                <w:kern w:val="0"/>
                <w:szCs w:val="21"/>
              </w:rPr>
              <w:t>（本列数据的勾</w:t>
            </w:r>
            <w:proofErr w:type="gramStart"/>
            <w:r>
              <w:rPr>
                <w:rFonts w:ascii="Times New Roman" w:eastAsia="楷体_GB2312" w:hAnsi="Times New Roman" w:cs="Times New Roman"/>
                <w:kern w:val="0"/>
                <w:szCs w:val="21"/>
              </w:rPr>
              <w:t>稽</w:t>
            </w:r>
            <w:proofErr w:type="gramEnd"/>
            <w:r>
              <w:rPr>
                <w:rFonts w:ascii="Times New Roman" w:eastAsia="楷体_GB2312" w:hAnsi="Times New Roman" w:cs="Times New Roman"/>
                <w:kern w:val="0"/>
                <w:szCs w:val="21"/>
              </w:rPr>
              <w:t>关系为：第一项加第二项之和，</w:t>
            </w:r>
          </w:p>
          <w:p w14:paraId="05EBF7A0"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楷体_GB2312" w:hAnsi="Times New Roman" w:cs="Times New Roman"/>
                <w:kern w:val="0"/>
                <w:szCs w:val="21"/>
              </w:rPr>
              <w:t>等于第三项加第四项之和）</w:t>
            </w:r>
          </w:p>
        </w:tc>
        <w:tc>
          <w:tcPr>
            <w:tcW w:w="4820" w:type="dxa"/>
            <w:gridSpan w:val="7"/>
            <w:shd w:val="clear" w:color="auto" w:fill="auto"/>
            <w:tcMar>
              <w:left w:w="108" w:type="dxa"/>
              <w:right w:w="108" w:type="dxa"/>
            </w:tcMar>
            <w:vAlign w:val="center"/>
          </w:tcPr>
          <w:p w14:paraId="48876022" w14:textId="77777777" w:rsidR="00812E9B" w:rsidRDefault="00000000">
            <w:pPr>
              <w:widowControl/>
              <w:spacing w:line="600" w:lineRule="exact"/>
              <w:jc w:val="center"/>
              <w:rPr>
                <w:rFonts w:ascii="Times New Roman" w:eastAsia="黑体" w:hAnsi="Times New Roman" w:cs="Times New Roman"/>
                <w:szCs w:val="21"/>
              </w:rPr>
            </w:pPr>
            <w:r>
              <w:rPr>
                <w:rFonts w:ascii="Times New Roman" w:eastAsia="黑体" w:hAnsi="Times New Roman" w:cs="Times New Roman"/>
                <w:kern w:val="0"/>
                <w:szCs w:val="21"/>
              </w:rPr>
              <w:t>申请人情况</w:t>
            </w:r>
          </w:p>
        </w:tc>
      </w:tr>
      <w:tr w:rsidR="00812E9B" w14:paraId="01E28DD6" w14:textId="77777777">
        <w:trPr>
          <w:trHeight w:val="425"/>
          <w:jc w:val="center"/>
        </w:trPr>
        <w:tc>
          <w:tcPr>
            <w:tcW w:w="5093" w:type="dxa"/>
            <w:gridSpan w:val="3"/>
            <w:vMerge/>
            <w:shd w:val="clear" w:color="auto" w:fill="auto"/>
            <w:tcMar>
              <w:left w:w="108" w:type="dxa"/>
              <w:right w:w="108" w:type="dxa"/>
            </w:tcMar>
            <w:vAlign w:val="center"/>
          </w:tcPr>
          <w:p w14:paraId="2030A225" w14:textId="77777777" w:rsidR="00812E9B" w:rsidRDefault="00812E9B">
            <w:pPr>
              <w:spacing w:line="600" w:lineRule="exact"/>
              <w:jc w:val="center"/>
              <w:rPr>
                <w:rFonts w:ascii="Times New Roman" w:eastAsia="仿宋_GB2312" w:hAnsi="Times New Roman" w:cs="Times New Roman"/>
                <w:szCs w:val="21"/>
              </w:rPr>
            </w:pPr>
          </w:p>
        </w:tc>
        <w:tc>
          <w:tcPr>
            <w:tcW w:w="829" w:type="dxa"/>
            <w:vMerge w:val="restart"/>
            <w:shd w:val="clear" w:color="auto" w:fill="auto"/>
            <w:tcMar>
              <w:left w:w="108" w:type="dxa"/>
              <w:right w:w="108" w:type="dxa"/>
            </w:tcMar>
            <w:vAlign w:val="center"/>
          </w:tcPr>
          <w:p w14:paraId="04C92FB3" w14:textId="77777777" w:rsidR="00812E9B" w:rsidRDefault="00000000">
            <w:pPr>
              <w:widowControl/>
              <w:spacing w:line="600" w:lineRule="exact"/>
              <w:jc w:val="center"/>
              <w:rPr>
                <w:rFonts w:ascii="Times New Roman" w:eastAsia="黑体" w:hAnsi="Times New Roman" w:cs="Times New Roman"/>
                <w:szCs w:val="21"/>
              </w:rPr>
            </w:pPr>
            <w:r>
              <w:rPr>
                <w:rFonts w:ascii="Times New Roman" w:eastAsia="黑体" w:hAnsi="Times New Roman" w:cs="Times New Roman"/>
                <w:kern w:val="0"/>
                <w:szCs w:val="21"/>
              </w:rPr>
              <w:t>自然人</w:t>
            </w:r>
          </w:p>
        </w:tc>
        <w:tc>
          <w:tcPr>
            <w:tcW w:w="3140" w:type="dxa"/>
            <w:gridSpan w:val="5"/>
            <w:shd w:val="clear" w:color="auto" w:fill="auto"/>
            <w:tcMar>
              <w:left w:w="108" w:type="dxa"/>
              <w:right w:w="108" w:type="dxa"/>
            </w:tcMar>
            <w:vAlign w:val="center"/>
          </w:tcPr>
          <w:p w14:paraId="353799BB" w14:textId="77777777" w:rsidR="00812E9B" w:rsidRDefault="00000000">
            <w:pPr>
              <w:widowControl/>
              <w:spacing w:line="600" w:lineRule="exact"/>
              <w:jc w:val="center"/>
              <w:rPr>
                <w:rFonts w:ascii="Times New Roman" w:eastAsia="黑体" w:hAnsi="Times New Roman" w:cs="Times New Roman"/>
                <w:szCs w:val="21"/>
              </w:rPr>
            </w:pPr>
            <w:r>
              <w:rPr>
                <w:rFonts w:ascii="Times New Roman" w:eastAsia="黑体" w:hAnsi="Times New Roman" w:cs="Times New Roman"/>
                <w:kern w:val="0"/>
                <w:szCs w:val="21"/>
              </w:rPr>
              <w:t>法人或其他组织</w:t>
            </w:r>
          </w:p>
        </w:tc>
        <w:tc>
          <w:tcPr>
            <w:tcW w:w="851" w:type="dxa"/>
            <w:vMerge w:val="restart"/>
            <w:shd w:val="clear" w:color="auto" w:fill="auto"/>
            <w:tcMar>
              <w:left w:w="108" w:type="dxa"/>
              <w:right w:w="108" w:type="dxa"/>
            </w:tcMar>
            <w:vAlign w:val="center"/>
          </w:tcPr>
          <w:p w14:paraId="31115B26" w14:textId="77777777" w:rsidR="00812E9B" w:rsidRDefault="00000000">
            <w:pPr>
              <w:widowControl/>
              <w:spacing w:line="600" w:lineRule="exact"/>
              <w:jc w:val="center"/>
              <w:rPr>
                <w:rFonts w:ascii="Times New Roman" w:eastAsia="黑体" w:hAnsi="Times New Roman" w:cs="Times New Roman"/>
                <w:szCs w:val="21"/>
              </w:rPr>
            </w:pPr>
            <w:r>
              <w:rPr>
                <w:rFonts w:ascii="Times New Roman" w:eastAsia="黑体" w:hAnsi="Times New Roman" w:cs="Times New Roman"/>
                <w:kern w:val="0"/>
                <w:szCs w:val="21"/>
              </w:rPr>
              <w:t>总计</w:t>
            </w:r>
          </w:p>
        </w:tc>
      </w:tr>
      <w:tr w:rsidR="00812E9B" w14:paraId="24926986" w14:textId="77777777">
        <w:trPr>
          <w:trHeight w:val="322"/>
          <w:jc w:val="center"/>
        </w:trPr>
        <w:tc>
          <w:tcPr>
            <w:tcW w:w="5093" w:type="dxa"/>
            <w:gridSpan w:val="3"/>
            <w:vMerge/>
            <w:shd w:val="clear" w:color="auto" w:fill="auto"/>
            <w:tcMar>
              <w:left w:w="108" w:type="dxa"/>
              <w:right w:w="108" w:type="dxa"/>
            </w:tcMar>
            <w:vAlign w:val="center"/>
          </w:tcPr>
          <w:p w14:paraId="6B67F3BA" w14:textId="77777777" w:rsidR="00812E9B" w:rsidRDefault="00812E9B">
            <w:pPr>
              <w:spacing w:line="600" w:lineRule="exact"/>
              <w:jc w:val="center"/>
              <w:rPr>
                <w:rFonts w:ascii="Times New Roman" w:eastAsia="仿宋_GB2312" w:hAnsi="Times New Roman" w:cs="Times New Roman"/>
                <w:szCs w:val="21"/>
              </w:rPr>
            </w:pPr>
          </w:p>
        </w:tc>
        <w:tc>
          <w:tcPr>
            <w:tcW w:w="829" w:type="dxa"/>
            <w:vMerge/>
            <w:shd w:val="clear" w:color="auto" w:fill="auto"/>
            <w:tcMar>
              <w:left w:w="108" w:type="dxa"/>
              <w:right w:w="108" w:type="dxa"/>
            </w:tcMar>
            <w:vAlign w:val="center"/>
          </w:tcPr>
          <w:p w14:paraId="0DFE0E20" w14:textId="77777777" w:rsidR="00812E9B" w:rsidRDefault="00812E9B">
            <w:pPr>
              <w:spacing w:line="600" w:lineRule="exact"/>
              <w:jc w:val="center"/>
              <w:rPr>
                <w:rFonts w:ascii="Times New Roman" w:eastAsia="黑体" w:hAnsi="Times New Roman" w:cs="Times New Roman"/>
                <w:szCs w:val="21"/>
              </w:rPr>
            </w:pPr>
          </w:p>
        </w:tc>
        <w:tc>
          <w:tcPr>
            <w:tcW w:w="567" w:type="dxa"/>
            <w:shd w:val="clear" w:color="auto" w:fill="auto"/>
            <w:tcMar>
              <w:left w:w="108" w:type="dxa"/>
              <w:right w:w="108" w:type="dxa"/>
            </w:tcMar>
            <w:vAlign w:val="center"/>
          </w:tcPr>
          <w:p w14:paraId="6670AD3A" w14:textId="77777777" w:rsidR="00812E9B" w:rsidRDefault="00000000">
            <w:pPr>
              <w:widowControl/>
              <w:spacing w:line="600" w:lineRule="exact"/>
              <w:ind w:leftChars="-51" w:left="-106" w:rightChars="-51" w:right="-107" w:hanging="1"/>
              <w:jc w:val="center"/>
              <w:rPr>
                <w:rFonts w:ascii="Times New Roman" w:eastAsia="黑体" w:hAnsi="Times New Roman" w:cs="Times New Roman"/>
                <w:szCs w:val="21"/>
              </w:rPr>
            </w:pPr>
            <w:r>
              <w:rPr>
                <w:rFonts w:ascii="Times New Roman" w:eastAsia="黑体" w:hAnsi="Times New Roman" w:cs="Times New Roman"/>
                <w:kern w:val="0"/>
                <w:szCs w:val="21"/>
              </w:rPr>
              <w:t>商业企业</w:t>
            </w:r>
          </w:p>
        </w:tc>
        <w:tc>
          <w:tcPr>
            <w:tcW w:w="567" w:type="dxa"/>
            <w:shd w:val="clear" w:color="auto" w:fill="auto"/>
            <w:tcMar>
              <w:left w:w="108" w:type="dxa"/>
              <w:right w:w="108" w:type="dxa"/>
            </w:tcMar>
            <w:vAlign w:val="center"/>
          </w:tcPr>
          <w:p w14:paraId="0BB26E7A" w14:textId="77777777" w:rsidR="00812E9B" w:rsidRDefault="00000000">
            <w:pPr>
              <w:widowControl/>
              <w:spacing w:line="600" w:lineRule="exact"/>
              <w:ind w:leftChars="-51" w:left="-107" w:rightChars="-51" w:right="-107"/>
              <w:jc w:val="center"/>
              <w:rPr>
                <w:rFonts w:ascii="Times New Roman" w:eastAsia="黑体" w:hAnsi="Times New Roman" w:cs="Times New Roman"/>
                <w:szCs w:val="21"/>
              </w:rPr>
            </w:pPr>
            <w:r>
              <w:rPr>
                <w:rFonts w:ascii="Times New Roman" w:eastAsia="黑体" w:hAnsi="Times New Roman" w:cs="Times New Roman"/>
                <w:kern w:val="0"/>
                <w:szCs w:val="21"/>
              </w:rPr>
              <w:t>科研机构</w:t>
            </w:r>
          </w:p>
        </w:tc>
        <w:tc>
          <w:tcPr>
            <w:tcW w:w="731" w:type="dxa"/>
            <w:shd w:val="clear" w:color="auto" w:fill="auto"/>
            <w:tcMar>
              <w:left w:w="108" w:type="dxa"/>
              <w:right w:w="108" w:type="dxa"/>
            </w:tcMar>
            <w:vAlign w:val="center"/>
          </w:tcPr>
          <w:p w14:paraId="57450115" w14:textId="77777777" w:rsidR="00812E9B" w:rsidRDefault="00000000">
            <w:pPr>
              <w:widowControl/>
              <w:spacing w:line="600" w:lineRule="exact"/>
              <w:ind w:leftChars="-51" w:left="-107" w:rightChars="-51" w:right="-107"/>
              <w:jc w:val="center"/>
              <w:rPr>
                <w:rFonts w:ascii="Times New Roman" w:eastAsia="黑体" w:hAnsi="Times New Roman" w:cs="Times New Roman"/>
                <w:szCs w:val="21"/>
              </w:rPr>
            </w:pPr>
            <w:r>
              <w:rPr>
                <w:rFonts w:ascii="Times New Roman" w:eastAsia="黑体" w:hAnsi="Times New Roman" w:cs="Times New Roman"/>
                <w:kern w:val="0"/>
                <w:szCs w:val="21"/>
              </w:rPr>
              <w:t>社会公益组织</w:t>
            </w:r>
          </w:p>
        </w:tc>
        <w:tc>
          <w:tcPr>
            <w:tcW w:w="708" w:type="dxa"/>
            <w:shd w:val="clear" w:color="auto" w:fill="auto"/>
            <w:tcMar>
              <w:left w:w="108" w:type="dxa"/>
              <w:right w:w="108" w:type="dxa"/>
            </w:tcMar>
            <w:vAlign w:val="center"/>
          </w:tcPr>
          <w:p w14:paraId="0D475667" w14:textId="77777777" w:rsidR="00812E9B" w:rsidRDefault="00000000">
            <w:pPr>
              <w:widowControl/>
              <w:spacing w:line="600" w:lineRule="exact"/>
              <w:ind w:leftChars="-51" w:left="-106" w:rightChars="-51" w:right="-107" w:hanging="1"/>
              <w:jc w:val="center"/>
              <w:rPr>
                <w:rFonts w:ascii="Times New Roman" w:eastAsia="黑体" w:hAnsi="Times New Roman" w:cs="Times New Roman"/>
                <w:szCs w:val="21"/>
              </w:rPr>
            </w:pPr>
            <w:r>
              <w:rPr>
                <w:rFonts w:ascii="Times New Roman" w:eastAsia="黑体" w:hAnsi="Times New Roman" w:cs="Times New Roman"/>
                <w:kern w:val="0"/>
                <w:szCs w:val="21"/>
              </w:rPr>
              <w:t>法律服务机构</w:t>
            </w:r>
          </w:p>
        </w:tc>
        <w:tc>
          <w:tcPr>
            <w:tcW w:w="567" w:type="dxa"/>
            <w:shd w:val="clear" w:color="auto" w:fill="auto"/>
            <w:tcMar>
              <w:left w:w="108" w:type="dxa"/>
              <w:right w:w="108" w:type="dxa"/>
            </w:tcMar>
            <w:vAlign w:val="center"/>
          </w:tcPr>
          <w:p w14:paraId="04CA63BF" w14:textId="77777777" w:rsidR="00812E9B" w:rsidRDefault="00000000">
            <w:pPr>
              <w:widowControl/>
              <w:spacing w:line="600" w:lineRule="exact"/>
              <w:ind w:leftChars="-30" w:left="-63" w:rightChars="-64" w:right="-134"/>
              <w:jc w:val="center"/>
              <w:rPr>
                <w:rFonts w:ascii="Times New Roman" w:eastAsia="黑体" w:hAnsi="Times New Roman" w:cs="Times New Roman"/>
                <w:szCs w:val="21"/>
              </w:rPr>
            </w:pPr>
            <w:r>
              <w:rPr>
                <w:rFonts w:ascii="Times New Roman" w:eastAsia="黑体" w:hAnsi="Times New Roman" w:cs="Times New Roman"/>
                <w:kern w:val="0"/>
                <w:szCs w:val="21"/>
              </w:rPr>
              <w:t>其他</w:t>
            </w:r>
          </w:p>
        </w:tc>
        <w:tc>
          <w:tcPr>
            <w:tcW w:w="851" w:type="dxa"/>
            <w:vMerge/>
            <w:shd w:val="clear" w:color="auto" w:fill="auto"/>
            <w:tcMar>
              <w:left w:w="108" w:type="dxa"/>
              <w:right w:w="108" w:type="dxa"/>
            </w:tcMar>
            <w:vAlign w:val="center"/>
          </w:tcPr>
          <w:p w14:paraId="63613DF2" w14:textId="77777777" w:rsidR="00812E9B" w:rsidRDefault="00812E9B">
            <w:pPr>
              <w:spacing w:line="600" w:lineRule="exact"/>
              <w:jc w:val="center"/>
              <w:rPr>
                <w:rFonts w:ascii="Times New Roman" w:eastAsia="仿宋_GB2312" w:hAnsi="Times New Roman" w:cs="Times New Roman"/>
                <w:szCs w:val="21"/>
              </w:rPr>
            </w:pPr>
          </w:p>
        </w:tc>
      </w:tr>
      <w:tr w:rsidR="00812E9B" w14:paraId="64417F65" w14:textId="77777777">
        <w:trPr>
          <w:trHeight w:val="20"/>
          <w:jc w:val="center"/>
        </w:trPr>
        <w:tc>
          <w:tcPr>
            <w:tcW w:w="5093" w:type="dxa"/>
            <w:gridSpan w:val="3"/>
            <w:shd w:val="clear" w:color="auto" w:fill="auto"/>
            <w:tcMar>
              <w:left w:w="108" w:type="dxa"/>
              <w:right w:w="108" w:type="dxa"/>
            </w:tcMar>
            <w:vAlign w:val="center"/>
          </w:tcPr>
          <w:p w14:paraId="1FE6EFC8" w14:textId="77777777" w:rsidR="00812E9B" w:rsidRDefault="00000000">
            <w:pPr>
              <w:widowControl/>
              <w:spacing w:line="600" w:lineRule="exact"/>
              <w:rPr>
                <w:rFonts w:ascii="Times New Roman" w:eastAsia="黑体" w:hAnsi="Times New Roman" w:cs="Times New Roman"/>
                <w:szCs w:val="21"/>
              </w:rPr>
            </w:pPr>
            <w:r>
              <w:rPr>
                <w:rFonts w:ascii="Times New Roman" w:eastAsia="黑体" w:hAnsi="Times New Roman" w:cs="Times New Roman"/>
                <w:kern w:val="0"/>
                <w:szCs w:val="21"/>
              </w:rPr>
              <w:t>一、</w:t>
            </w:r>
            <w:bookmarkStart w:id="0" w:name="_Hlk66973412"/>
            <w:r>
              <w:rPr>
                <w:rFonts w:ascii="Times New Roman" w:eastAsia="黑体" w:hAnsi="Times New Roman" w:cs="Times New Roman"/>
                <w:kern w:val="0"/>
                <w:szCs w:val="21"/>
              </w:rPr>
              <w:t>本年新收政府信息公开申请数量</w:t>
            </w:r>
            <w:bookmarkEnd w:id="0"/>
          </w:p>
        </w:tc>
        <w:tc>
          <w:tcPr>
            <w:tcW w:w="829" w:type="dxa"/>
            <w:shd w:val="clear" w:color="auto" w:fill="auto"/>
            <w:tcMar>
              <w:left w:w="108" w:type="dxa"/>
              <w:right w:w="108" w:type="dxa"/>
            </w:tcMar>
            <w:vAlign w:val="center"/>
          </w:tcPr>
          <w:p w14:paraId="798984A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38167</w:t>
            </w:r>
          </w:p>
        </w:tc>
        <w:tc>
          <w:tcPr>
            <w:tcW w:w="567" w:type="dxa"/>
            <w:shd w:val="clear" w:color="auto" w:fill="auto"/>
            <w:tcMar>
              <w:left w:w="108" w:type="dxa"/>
              <w:right w:w="108" w:type="dxa"/>
            </w:tcMar>
            <w:vAlign w:val="center"/>
          </w:tcPr>
          <w:p w14:paraId="2BB3C374"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968</w:t>
            </w:r>
          </w:p>
        </w:tc>
        <w:tc>
          <w:tcPr>
            <w:tcW w:w="567" w:type="dxa"/>
            <w:shd w:val="clear" w:color="auto" w:fill="auto"/>
            <w:tcMar>
              <w:left w:w="108" w:type="dxa"/>
              <w:right w:w="108" w:type="dxa"/>
            </w:tcMar>
            <w:vAlign w:val="center"/>
          </w:tcPr>
          <w:p w14:paraId="2A5E147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54</w:t>
            </w:r>
          </w:p>
        </w:tc>
        <w:tc>
          <w:tcPr>
            <w:tcW w:w="731" w:type="dxa"/>
            <w:shd w:val="clear" w:color="auto" w:fill="auto"/>
            <w:tcMar>
              <w:left w:w="108" w:type="dxa"/>
              <w:right w:w="108" w:type="dxa"/>
            </w:tcMar>
            <w:vAlign w:val="center"/>
          </w:tcPr>
          <w:p w14:paraId="76447644"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84</w:t>
            </w:r>
          </w:p>
        </w:tc>
        <w:tc>
          <w:tcPr>
            <w:tcW w:w="708" w:type="dxa"/>
            <w:shd w:val="clear" w:color="auto" w:fill="auto"/>
            <w:tcMar>
              <w:left w:w="108" w:type="dxa"/>
              <w:right w:w="108" w:type="dxa"/>
            </w:tcMar>
            <w:vAlign w:val="center"/>
          </w:tcPr>
          <w:p w14:paraId="3B7A08C3"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253</w:t>
            </w:r>
          </w:p>
        </w:tc>
        <w:tc>
          <w:tcPr>
            <w:tcW w:w="567" w:type="dxa"/>
            <w:shd w:val="clear" w:color="auto" w:fill="auto"/>
            <w:tcMar>
              <w:left w:w="108" w:type="dxa"/>
              <w:right w:w="108" w:type="dxa"/>
            </w:tcMar>
            <w:vAlign w:val="center"/>
          </w:tcPr>
          <w:p w14:paraId="53AEF6A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94</w:t>
            </w:r>
          </w:p>
        </w:tc>
        <w:tc>
          <w:tcPr>
            <w:tcW w:w="851" w:type="dxa"/>
            <w:shd w:val="clear" w:color="auto" w:fill="auto"/>
            <w:tcMar>
              <w:left w:w="108" w:type="dxa"/>
              <w:right w:w="108" w:type="dxa"/>
            </w:tcMar>
            <w:vAlign w:val="center"/>
          </w:tcPr>
          <w:p w14:paraId="7A387DD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39620</w:t>
            </w:r>
          </w:p>
        </w:tc>
      </w:tr>
      <w:tr w:rsidR="00812E9B" w14:paraId="0FBD59D1" w14:textId="77777777">
        <w:trPr>
          <w:trHeight w:val="20"/>
          <w:jc w:val="center"/>
        </w:trPr>
        <w:tc>
          <w:tcPr>
            <w:tcW w:w="5093" w:type="dxa"/>
            <w:gridSpan w:val="3"/>
            <w:shd w:val="clear" w:color="auto" w:fill="auto"/>
            <w:tcMar>
              <w:left w:w="108" w:type="dxa"/>
              <w:right w:w="108" w:type="dxa"/>
            </w:tcMar>
            <w:vAlign w:val="center"/>
          </w:tcPr>
          <w:p w14:paraId="3FC12620" w14:textId="77777777" w:rsidR="00812E9B" w:rsidRDefault="00000000">
            <w:pPr>
              <w:widowControl/>
              <w:spacing w:line="600" w:lineRule="exact"/>
              <w:rPr>
                <w:rFonts w:ascii="Times New Roman" w:eastAsia="黑体" w:hAnsi="Times New Roman" w:cs="Times New Roman"/>
                <w:szCs w:val="21"/>
              </w:rPr>
            </w:pPr>
            <w:r>
              <w:rPr>
                <w:rFonts w:ascii="Times New Roman" w:eastAsia="黑体" w:hAnsi="Times New Roman" w:cs="Times New Roman"/>
                <w:kern w:val="0"/>
                <w:szCs w:val="21"/>
              </w:rPr>
              <w:t>二、上年结转政府信息公开申请数量</w:t>
            </w:r>
          </w:p>
        </w:tc>
        <w:tc>
          <w:tcPr>
            <w:tcW w:w="829" w:type="dxa"/>
            <w:shd w:val="clear" w:color="auto" w:fill="auto"/>
            <w:tcMar>
              <w:left w:w="108" w:type="dxa"/>
              <w:right w:w="108" w:type="dxa"/>
            </w:tcMar>
            <w:vAlign w:val="center"/>
          </w:tcPr>
          <w:p w14:paraId="6FE06AB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776</w:t>
            </w:r>
          </w:p>
        </w:tc>
        <w:tc>
          <w:tcPr>
            <w:tcW w:w="567" w:type="dxa"/>
            <w:shd w:val="clear" w:color="auto" w:fill="auto"/>
            <w:tcMar>
              <w:left w:w="108" w:type="dxa"/>
              <w:right w:w="108" w:type="dxa"/>
            </w:tcMar>
            <w:vAlign w:val="center"/>
          </w:tcPr>
          <w:p w14:paraId="0F6A1D09"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29</w:t>
            </w:r>
          </w:p>
        </w:tc>
        <w:tc>
          <w:tcPr>
            <w:tcW w:w="567" w:type="dxa"/>
            <w:shd w:val="clear" w:color="auto" w:fill="auto"/>
            <w:tcMar>
              <w:left w:w="108" w:type="dxa"/>
              <w:right w:w="108" w:type="dxa"/>
            </w:tcMar>
            <w:vAlign w:val="center"/>
          </w:tcPr>
          <w:p w14:paraId="74E8AB2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731" w:type="dxa"/>
            <w:shd w:val="clear" w:color="auto" w:fill="auto"/>
            <w:tcMar>
              <w:left w:w="108" w:type="dxa"/>
              <w:right w:w="108" w:type="dxa"/>
            </w:tcMar>
            <w:vAlign w:val="center"/>
          </w:tcPr>
          <w:p w14:paraId="1CFBAD13"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708" w:type="dxa"/>
            <w:shd w:val="clear" w:color="auto" w:fill="auto"/>
            <w:tcMar>
              <w:left w:w="108" w:type="dxa"/>
              <w:right w:w="108" w:type="dxa"/>
            </w:tcMar>
            <w:vAlign w:val="center"/>
          </w:tcPr>
          <w:p w14:paraId="7E2B6F9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567" w:type="dxa"/>
            <w:shd w:val="clear" w:color="auto" w:fill="auto"/>
            <w:tcMar>
              <w:left w:w="108" w:type="dxa"/>
              <w:right w:w="108" w:type="dxa"/>
            </w:tcMar>
            <w:vAlign w:val="center"/>
          </w:tcPr>
          <w:p w14:paraId="6363FA5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851" w:type="dxa"/>
            <w:shd w:val="clear" w:color="auto" w:fill="auto"/>
            <w:tcMar>
              <w:left w:w="108" w:type="dxa"/>
              <w:right w:w="108" w:type="dxa"/>
            </w:tcMar>
            <w:vAlign w:val="center"/>
          </w:tcPr>
          <w:p w14:paraId="0D87045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821</w:t>
            </w:r>
          </w:p>
        </w:tc>
      </w:tr>
      <w:tr w:rsidR="00812E9B" w14:paraId="127278E2" w14:textId="77777777">
        <w:trPr>
          <w:jc w:val="center"/>
        </w:trPr>
        <w:tc>
          <w:tcPr>
            <w:tcW w:w="416" w:type="dxa"/>
            <w:vMerge w:val="restart"/>
            <w:shd w:val="clear" w:color="auto" w:fill="auto"/>
            <w:tcMar>
              <w:left w:w="108" w:type="dxa"/>
              <w:right w:w="108" w:type="dxa"/>
            </w:tcMar>
            <w:vAlign w:val="center"/>
          </w:tcPr>
          <w:p w14:paraId="6E2B57DA" w14:textId="77777777" w:rsidR="00812E9B" w:rsidRDefault="00000000">
            <w:pPr>
              <w:widowControl/>
              <w:spacing w:line="600" w:lineRule="exact"/>
              <w:rPr>
                <w:rFonts w:ascii="Times New Roman" w:eastAsia="黑体" w:hAnsi="Times New Roman" w:cs="Times New Roman"/>
                <w:szCs w:val="21"/>
              </w:rPr>
            </w:pPr>
            <w:r>
              <w:rPr>
                <w:rFonts w:ascii="Times New Roman" w:eastAsia="黑体" w:hAnsi="Times New Roman" w:cs="Times New Roman"/>
                <w:kern w:val="0"/>
                <w:szCs w:val="21"/>
              </w:rPr>
              <w:lastRenderedPageBreak/>
              <w:t>三、本年度办理结果</w:t>
            </w:r>
          </w:p>
        </w:tc>
        <w:tc>
          <w:tcPr>
            <w:tcW w:w="4677" w:type="dxa"/>
            <w:gridSpan w:val="2"/>
            <w:shd w:val="clear" w:color="auto" w:fill="auto"/>
            <w:tcMar>
              <w:left w:w="108" w:type="dxa"/>
              <w:right w:w="108" w:type="dxa"/>
            </w:tcMar>
            <w:vAlign w:val="center"/>
          </w:tcPr>
          <w:p w14:paraId="0FD6377D" w14:textId="77777777" w:rsidR="00812E9B" w:rsidRDefault="00000000">
            <w:pPr>
              <w:widowControl/>
              <w:spacing w:line="600" w:lineRule="exact"/>
              <w:rPr>
                <w:rFonts w:ascii="Times New Roman" w:eastAsia="黑体" w:hAnsi="Times New Roman" w:cs="Times New Roman"/>
                <w:szCs w:val="21"/>
              </w:rPr>
            </w:pPr>
            <w:r>
              <w:rPr>
                <w:rFonts w:ascii="Times New Roman" w:eastAsia="黑体" w:hAnsi="Times New Roman" w:cs="Times New Roman"/>
                <w:kern w:val="0"/>
                <w:szCs w:val="21"/>
              </w:rPr>
              <w:t>（一）予以公开</w:t>
            </w:r>
          </w:p>
        </w:tc>
        <w:tc>
          <w:tcPr>
            <w:tcW w:w="829" w:type="dxa"/>
            <w:shd w:val="clear" w:color="auto" w:fill="auto"/>
            <w:tcMar>
              <w:left w:w="108" w:type="dxa"/>
              <w:right w:w="108" w:type="dxa"/>
            </w:tcMar>
            <w:vAlign w:val="center"/>
          </w:tcPr>
          <w:p w14:paraId="281B827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16543</w:t>
            </w:r>
          </w:p>
        </w:tc>
        <w:tc>
          <w:tcPr>
            <w:tcW w:w="567" w:type="dxa"/>
            <w:shd w:val="clear" w:color="auto" w:fill="auto"/>
            <w:tcMar>
              <w:left w:w="108" w:type="dxa"/>
              <w:right w:w="108" w:type="dxa"/>
            </w:tcMar>
            <w:vAlign w:val="center"/>
          </w:tcPr>
          <w:p w14:paraId="4268D0B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451</w:t>
            </w:r>
          </w:p>
        </w:tc>
        <w:tc>
          <w:tcPr>
            <w:tcW w:w="567" w:type="dxa"/>
            <w:shd w:val="clear" w:color="auto" w:fill="auto"/>
            <w:tcMar>
              <w:left w:w="108" w:type="dxa"/>
              <w:right w:w="108" w:type="dxa"/>
            </w:tcMar>
            <w:vAlign w:val="center"/>
          </w:tcPr>
          <w:p w14:paraId="4A1BF33E"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35</w:t>
            </w:r>
          </w:p>
        </w:tc>
        <w:tc>
          <w:tcPr>
            <w:tcW w:w="731" w:type="dxa"/>
            <w:shd w:val="clear" w:color="auto" w:fill="auto"/>
            <w:tcMar>
              <w:left w:w="108" w:type="dxa"/>
              <w:right w:w="108" w:type="dxa"/>
            </w:tcMar>
            <w:vAlign w:val="center"/>
          </w:tcPr>
          <w:p w14:paraId="2D4F678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51</w:t>
            </w:r>
          </w:p>
        </w:tc>
        <w:tc>
          <w:tcPr>
            <w:tcW w:w="708" w:type="dxa"/>
            <w:shd w:val="clear" w:color="auto" w:fill="auto"/>
            <w:tcMar>
              <w:left w:w="108" w:type="dxa"/>
              <w:right w:w="108" w:type="dxa"/>
            </w:tcMar>
            <w:vAlign w:val="center"/>
          </w:tcPr>
          <w:p w14:paraId="5A44070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125</w:t>
            </w:r>
          </w:p>
        </w:tc>
        <w:tc>
          <w:tcPr>
            <w:tcW w:w="567" w:type="dxa"/>
            <w:shd w:val="clear" w:color="auto" w:fill="auto"/>
            <w:tcMar>
              <w:left w:w="108" w:type="dxa"/>
              <w:right w:w="108" w:type="dxa"/>
            </w:tcMar>
            <w:vAlign w:val="center"/>
          </w:tcPr>
          <w:p w14:paraId="7ECF697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49</w:t>
            </w:r>
          </w:p>
        </w:tc>
        <w:tc>
          <w:tcPr>
            <w:tcW w:w="851" w:type="dxa"/>
            <w:shd w:val="clear" w:color="auto" w:fill="auto"/>
            <w:tcMar>
              <w:left w:w="108" w:type="dxa"/>
              <w:right w:w="108" w:type="dxa"/>
            </w:tcMar>
            <w:vAlign w:val="center"/>
          </w:tcPr>
          <w:p w14:paraId="760E0213"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17254</w:t>
            </w:r>
          </w:p>
        </w:tc>
      </w:tr>
      <w:tr w:rsidR="00812E9B" w14:paraId="4C9EB85B" w14:textId="77777777">
        <w:trPr>
          <w:jc w:val="center"/>
        </w:trPr>
        <w:tc>
          <w:tcPr>
            <w:tcW w:w="416" w:type="dxa"/>
            <w:vMerge/>
            <w:shd w:val="clear" w:color="auto" w:fill="auto"/>
            <w:tcMar>
              <w:left w:w="108" w:type="dxa"/>
              <w:right w:w="108" w:type="dxa"/>
            </w:tcMar>
            <w:vAlign w:val="center"/>
          </w:tcPr>
          <w:p w14:paraId="4C9431D2" w14:textId="77777777" w:rsidR="00812E9B" w:rsidRDefault="00812E9B">
            <w:pPr>
              <w:spacing w:line="600" w:lineRule="exact"/>
              <w:rPr>
                <w:rFonts w:ascii="Times New Roman" w:eastAsia="黑体" w:hAnsi="Times New Roman" w:cs="Times New Roman"/>
                <w:szCs w:val="21"/>
              </w:rPr>
            </w:pPr>
          </w:p>
        </w:tc>
        <w:tc>
          <w:tcPr>
            <w:tcW w:w="4677" w:type="dxa"/>
            <w:gridSpan w:val="2"/>
            <w:shd w:val="clear" w:color="auto" w:fill="auto"/>
            <w:tcMar>
              <w:left w:w="108" w:type="dxa"/>
              <w:right w:w="108" w:type="dxa"/>
            </w:tcMar>
            <w:vAlign w:val="center"/>
          </w:tcPr>
          <w:p w14:paraId="6C481636" w14:textId="77777777" w:rsidR="00812E9B" w:rsidRDefault="00000000">
            <w:pPr>
              <w:widowControl/>
              <w:spacing w:line="600" w:lineRule="exact"/>
              <w:rPr>
                <w:rFonts w:ascii="Times New Roman" w:eastAsia="黑体" w:hAnsi="Times New Roman" w:cs="Times New Roman"/>
                <w:szCs w:val="21"/>
              </w:rPr>
            </w:pPr>
            <w:r>
              <w:rPr>
                <w:rFonts w:ascii="Times New Roman" w:eastAsia="黑体" w:hAnsi="Times New Roman" w:cs="Times New Roman"/>
                <w:kern w:val="0"/>
                <w:szCs w:val="21"/>
              </w:rPr>
              <w:t>（二）部分公开（</w:t>
            </w:r>
            <w:bookmarkStart w:id="1" w:name="_Hlk66973981"/>
            <w:r>
              <w:rPr>
                <w:rFonts w:ascii="Times New Roman" w:eastAsia="黑体" w:hAnsi="Times New Roman" w:cs="Times New Roman"/>
                <w:kern w:val="0"/>
                <w:szCs w:val="21"/>
              </w:rPr>
              <w:t>区分处理的，只计这一情形，不计其他情形</w:t>
            </w:r>
            <w:bookmarkEnd w:id="1"/>
            <w:r>
              <w:rPr>
                <w:rFonts w:ascii="Times New Roman" w:eastAsia="黑体" w:hAnsi="Times New Roman" w:cs="Times New Roman"/>
                <w:kern w:val="0"/>
                <w:szCs w:val="21"/>
              </w:rPr>
              <w:t>）</w:t>
            </w:r>
          </w:p>
        </w:tc>
        <w:tc>
          <w:tcPr>
            <w:tcW w:w="829" w:type="dxa"/>
            <w:shd w:val="clear" w:color="auto" w:fill="auto"/>
            <w:tcMar>
              <w:left w:w="108" w:type="dxa"/>
              <w:right w:w="108" w:type="dxa"/>
            </w:tcMar>
            <w:vAlign w:val="center"/>
          </w:tcPr>
          <w:p w14:paraId="2488F60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4674</w:t>
            </w:r>
          </w:p>
        </w:tc>
        <w:tc>
          <w:tcPr>
            <w:tcW w:w="567" w:type="dxa"/>
            <w:shd w:val="clear" w:color="auto" w:fill="auto"/>
            <w:tcMar>
              <w:left w:w="108" w:type="dxa"/>
              <w:right w:w="108" w:type="dxa"/>
            </w:tcMar>
            <w:vAlign w:val="center"/>
          </w:tcPr>
          <w:p w14:paraId="355421D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83</w:t>
            </w:r>
          </w:p>
        </w:tc>
        <w:tc>
          <w:tcPr>
            <w:tcW w:w="567" w:type="dxa"/>
            <w:shd w:val="clear" w:color="auto" w:fill="auto"/>
            <w:tcMar>
              <w:left w:w="108" w:type="dxa"/>
              <w:right w:w="108" w:type="dxa"/>
            </w:tcMar>
            <w:vAlign w:val="center"/>
          </w:tcPr>
          <w:p w14:paraId="77A436F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731" w:type="dxa"/>
            <w:shd w:val="clear" w:color="auto" w:fill="auto"/>
            <w:tcMar>
              <w:left w:w="108" w:type="dxa"/>
              <w:right w:w="108" w:type="dxa"/>
            </w:tcMar>
            <w:vAlign w:val="center"/>
          </w:tcPr>
          <w:p w14:paraId="71DE4C9E"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708" w:type="dxa"/>
            <w:shd w:val="clear" w:color="auto" w:fill="auto"/>
            <w:tcMar>
              <w:left w:w="108" w:type="dxa"/>
              <w:right w:w="108" w:type="dxa"/>
            </w:tcMar>
            <w:vAlign w:val="center"/>
          </w:tcPr>
          <w:p w14:paraId="782E38F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51</w:t>
            </w:r>
          </w:p>
        </w:tc>
        <w:tc>
          <w:tcPr>
            <w:tcW w:w="567" w:type="dxa"/>
            <w:shd w:val="clear" w:color="auto" w:fill="auto"/>
            <w:tcMar>
              <w:left w:w="108" w:type="dxa"/>
              <w:right w:w="108" w:type="dxa"/>
            </w:tcMar>
            <w:vAlign w:val="center"/>
          </w:tcPr>
          <w:p w14:paraId="204C476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851" w:type="dxa"/>
            <w:shd w:val="clear" w:color="auto" w:fill="auto"/>
            <w:tcMar>
              <w:left w:w="108" w:type="dxa"/>
              <w:right w:w="108" w:type="dxa"/>
            </w:tcMar>
            <w:vAlign w:val="center"/>
          </w:tcPr>
          <w:p w14:paraId="295C150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4823</w:t>
            </w:r>
          </w:p>
        </w:tc>
      </w:tr>
      <w:tr w:rsidR="00812E9B" w14:paraId="1CEDE443" w14:textId="77777777">
        <w:trPr>
          <w:trHeight w:hRule="exact" w:val="588"/>
          <w:jc w:val="center"/>
        </w:trPr>
        <w:tc>
          <w:tcPr>
            <w:tcW w:w="416" w:type="dxa"/>
            <w:vMerge/>
            <w:shd w:val="clear" w:color="auto" w:fill="auto"/>
            <w:tcMar>
              <w:left w:w="108" w:type="dxa"/>
              <w:right w:w="108" w:type="dxa"/>
            </w:tcMar>
            <w:vAlign w:val="center"/>
          </w:tcPr>
          <w:p w14:paraId="0013519B" w14:textId="77777777" w:rsidR="00812E9B" w:rsidRDefault="00812E9B">
            <w:pPr>
              <w:spacing w:line="600" w:lineRule="exact"/>
              <w:rPr>
                <w:rFonts w:ascii="Times New Roman" w:eastAsia="黑体" w:hAnsi="Times New Roman" w:cs="Times New Roman"/>
                <w:szCs w:val="21"/>
              </w:rPr>
            </w:pPr>
          </w:p>
        </w:tc>
        <w:tc>
          <w:tcPr>
            <w:tcW w:w="1701" w:type="dxa"/>
            <w:vMerge w:val="restart"/>
            <w:shd w:val="clear" w:color="auto" w:fill="auto"/>
            <w:tcMar>
              <w:left w:w="108" w:type="dxa"/>
              <w:right w:w="108" w:type="dxa"/>
            </w:tcMar>
            <w:vAlign w:val="center"/>
          </w:tcPr>
          <w:p w14:paraId="002E52EC" w14:textId="77777777" w:rsidR="00812E9B" w:rsidRDefault="00000000">
            <w:pPr>
              <w:widowControl/>
              <w:spacing w:line="600" w:lineRule="exact"/>
              <w:ind w:leftChars="-51" w:left="-107"/>
              <w:rPr>
                <w:rFonts w:ascii="Times New Roman" w:eastAsia="黑体" w:hAnsi="Times New Roman" w:cs="Times New Roman"/>
                <w:szCs w:val="21"/>
              </w:rPr>
            </w:pPr>
            <w:r>
              <w:rPr>
                <w:rFonts w:ascii="Times New Roman" w:eastAsia="黑体" w:hAnsi="Times New Roman" w:cs="Times New Roman"/>
                <w:kern w:val="0"/>
                <w:szCs w:val="21"/>
              </w:rPr>
              <w:t>（三）不予公开</w:t>
            </w:r>
          </w:p>
        </w:tc>
        <w:tc>
          <w:tcPr>
            <w:tcW w:w="2976" w:type="dxa"/>
            <w:shd w:val="clear" w:color="auto" w:fill="auto"/>
            <w:tcMar>
              <w:left w:w="108" w:type="dxa"/>
              <w:right w:w="108" w:type="dxa"/>
            </w:tcMar>
            <w:vAlign w:val="center"/>
          </w:tcPr>
          <w:p w14:paraId="0C2FD047"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1.</w:t>
            </w:r>
            <w:r>
              <w:rPr>
                <w:rFonts w:ascii="Times New Roman" w:eastAsia="仿宋_GB2312" w:hAnsi="Times New Roman" w:cs="Times New Roman"/>
                <w:kern w:val="0"/>
                <w:szCs w:val="21"/>
              </w:rPr>
              <w:t>属于国家秘密</w:t>
            </w:r>
          </w:p>
        </w:tc>
        <w:tc>
          <w:tcPr>
            <w:tcW w:w="829" w:type="dxa"/>
            <w:shd w:val="clear" w:color="auto" w:fill="auto"/>
            <w:tcMar>
              <w:left w:w="108" w:type="dxa"/>
              <w:right w:w="108" w:type="dxa"/>
            </w:tcMar>
            <w:vAlign w:val="center"/>
          </w:tcPr>
          <w:p w14:paraId="2155D8D4"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196</w:t>
            </w:r>
          </w:p>
        </w:tc>
        <w:tc>
          <w:tcPr>
            <w:tcW w:w="567" w:type="dxa"/>
            <w:shd w:val="clear" w:color="auto" w:fill="auto"/>
            <w:tcMar>
              <w:left w:w="108" w:type="dxa"/>
              <w:right w:w="108" w:type="dxa"/>
            </w:tcMar>
            <w:vAlign w:val="center"/>
          </w:tcPr>
          <w:p w14:paraId="756C01CA"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567" w:type="dxa"/>
            <w:shd w:val="clear" w:color="auto" w:fill="auto"/>
            <w:tcMar>
              <w:left w:w="108" w:type="dxa"/>
              <w:right w:w="108" w:type="dxa"/>
            </w:tcMar>
            <w:vAlign w:val="center"/>
          </w:tcPr>
          <w:p w14:paraId="4B8D8999"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0FE48156"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4C42700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567" w:type="dxa"/>
            <w:shd w:val="clear" w:color="auto" w:fill="auto"/>
            <w:tcMar>
              <w:left w:w="108" w:type="dxa"/>
              <w:right w:w="108" w:type="dxa"/>
            </w:tcMar>
            <w:vAlign w:val="center"/>
          </w:tcPr>
          <w:p w14:paraId="2BD151D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851" w:type="dxa"/>
            <w:shd w:val="clear" w:color="auto" w:fill="auto"/>
            <w:tcMar>
              <w:left w:w="108" w:type="dxa"/>
              <w:right w:w="108" w:type="dxa"/>
            </w:tcMar>
            <w:vAlign w:val="center"/>
          </w:tcPr>
          <w:p w14:paraId="183DFBB4"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206</w:t>
            </w:r>
          </w:p>
        </w:tc>
      </w:tr>
      <w:tr w:rsidR="00812E9B" w14:paraId="0517ADEC" w14:textId="77777777">
        <w:trPr>
          <w:trHeight w:hRule="exact" w:val="568"/>
          <w:jc w:val="center"/>
        </w:trPr>
        <w:tc>
          <w:tcPr>
            <w:tcW w:w="416" w:type="dxa"/>
            <w:vMerge/>
            <w:shd w:val="clear" w:color="auto" w:fill="auto"/>
            <w:tcMar>
              <w:left w:w="108" w:type="dxa"/>
              <w:right w:w="108" w:type="dxa"/>
            </w:tcMar>
            <w:vAlign w:val="center"/>
          </w:tcPr>
          <w:p w14:paraId="6D5A96D5"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475967EF"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4BF50DB8"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2.</w:t>
            </w:r>
            <w:bookmarkStart w:id="2" w:name="_Hlk66974104"/>
            <w:r>
              <w:rPr>
                <w:rFonts w:ascii="Times New Roman" w:eastAsia="仿宋_GB2312" w:hAnsi="Times New Roman" w:cs="Times New Roman"/>
                <w:kern w:val="0"/>
                <w:szCs w:val="21"/>
              </w:rPr>
              <w:t>其他法律行政法规禁止公开</w:t>
            </w:r>
            <w:bookmarkEnd w:id="2"/>
          </w:p>
        </w:tc>
        <w:tc>
          <w:tcPr>
            <w:tcW w:w="829" w:type="dxa"/>
            <w:shd w:val="clear" w:color="auto" w:fill="auto"/>
            <w:tcMar>
              <w:left w:w="108" w:type="dxa"/>
              <w:right w:w="108" w:type="dxa"/>
            </w:tcMar>
            <w:vAlign w:val="center"/>
          </w:tcPr>
          <w:p w14:paraId="131C3A24"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148</w:t>
            </w:r>
          </w:p>
        </w:tc>
        <w:tc>
          <w:tcPr>
            <w:tcW w:w="567" w:type="dxa"/>
            <w:shd w:val="clear" w:color="auto" w:fill="auto"/>
            <w:tcMar>
              <w:left w:w="108" w:type="dxa"/>
              <w:right w:w="108" w:type="dxa"/>
            </w:tcMar>
            <w:vAlign w:val="center"/>
          </w:tcPr>
          <w:p w14:paraId="3CEF38F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567" w:type="dxa"/>
            <w:shd w:val="clear" w:color="auto" w:fill="auto"/>
            <w:tcMar>
              <w:left w:w="108" w:type="dxa"/>
              <w:right w:w="108" w:type="dxa"/>
            </w:tcMar>
            <w:vAlign w:val="center"/>
          </w:tcPr>
          <w:p w14:paraId="4068426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7AC9375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145E274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567" w:type="dxa"/>
            <w:shd w:val="clear" w:color="auto" w:fill="auto"/>
            <w:tcMar>
              <w:left w:w="108" w:type="dxa"/>
              <w:right w:w="108" w:type="dxa"/>
            </w:tcMar>
            <w:vAlign w:val="center"/>
          </w:tcPr>
          <w:p w14:paraId="7B16B579"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851" w:type="dxa"/>
            <w:shd w:val="clear" w:color="auto" w:fill="auto"/>
            <w:tcMar>
              <w:left w:w="108" w:type="dxa"/>
              <w:right w:w="108" w:type="dxa"/>
            </w:tcMar>
            <w:vAlign w:val="center"/>
          </w:tcPr>
          <w:p w14:paraId="313CD08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163</w:t>
            </w:r>
          </w:p>
        </w:tc>
      </w:tr>
      <w:tr w:rsidR="00812E9B" w14:paraId="380CECD6" w14:textId="77777777">
        <w:trPr>
          <w:trHeight w:hRule="exact" w:val="562"/>
          <w:jc w:val="center"/>
        </w:trPr>
        <w:tc>
          <w:tcPr>
            <w:tcW w:w="416" w:type="dxa"/>
            <w:vMerge/>
            <w:shd w:val="clear" w:color="auto" w:fill="auto"/>
            <w:tcMar>
              <w:left w:w="108" w:type="dxa"/>
              <w:right w:w="108" w:type="dxa"/>
            </w:tcMar>
            <w:vAlign w:val="center"/>
          </w:tcPr>
          <w:p w14:paraId="7877EE07"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2BF384B2"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383667C6"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3.</w:t>
            </w:r>
            <w:r>
              <w:rPr>
                <w:rFonts w:ascii="Times New Roman" w:eastAsia="仿宋_GB2312" w:hAnsi="Times New Roman" w:cs="Times New Roman"/>
                <w:kern w:val="0"/>
                <w:szCs w:val="21"/>
              </w:rPr>
              <w:t>危及</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三安全</w:t>
            </w:r>
            <w:proofErr w:type="gramStart"/>
            <w:r>
              <w:rPr>
                <w:rFonts w:ascii="Times New Roman" w:eastAsia="仿宋_GB2312" w:hAnsi="Times New Roman" w:cs="Times New Roman"/>
                <w:kern w:val="0"/>
                <w:szCs w:val="21"/>
              </w:rPr>
              <w:t>一</w:t>
            </w:r>
            <w:proofErr w:type="gramEnd"/>
            <w:r>
              <w:rPr>
                <w:rFonts w:ascii="Times New Roman" w:eastAsia="仿宋_GB2312" w:hAnsi="Times New Roman" w:cs="Times New Roman"/>
                <w:kern w:val="0"/>
                <w:szCs w:val="21"/>
              </w:rPr>
              <w:t>稳定</w:t>
            </w:r>
            <w:r>
              <w:rPr>
                <w:rFonts w:ascii="Times New Roman" w:eastAsia="仿宋_GB2312" w:hAnsi="Times New Roman" w:cs="Times New Roman" w:hint="eastAsia"/>
                <w:kern w:val="0"/>
                <w:szCs w:val="21"/>
              </w:rPr>
              <w:t>”</w:t>
            </w:r>
          </w:p>
        </w:tc>
        <w:tc>
          <w:tcPr>
            <w:tcW w:w="829" w:type="dxa"/>
            <w:shd w:val="clear" w:color="auto" w:fill="auto"/>
            <w:tcMar>
              <w:left w:w="108" w:type="dxa"/>
              <w:right w:w="108" w:type="dxa"/>
            </w:tcMar>
            <w:vAlign w:val="center"/>
          </w:tcPr>
          <w:p w14:paraId="1A37D8D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38</w:t>
            </w:r>
          </w:p>
        </w:tc>
        <w:tc>
          <w:tcPr>
            <w:tcW w:w="567" w:type="dxa"/>
            <w:shd w:val="clear" w:color="auto" w:fill="auto"/>
            <w:tcMar>
              <w:left w:w="108" w:type="dxa"/>
              <w:right w:w="108" w:type="dxa"/>
            </w:tcMar>
            <w:vAlign w:val="center"/>
          </w:tcPr>
          <w:p w14:paraId="6B87907E"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567" w:type="dxa"/>
            <w:shd w:val="clear" w:color="auto" w:fill="auto"/>
            <w:tcMar>
              <w:left w:w="108" w:type="dxa"/>
              <w:right w:w="108" w:type="dxa"/>
            </w:tcMar>
            <w:vAlign w:val="center"/>
          </w:tcPr>
          <w:p w14:paraId="4ABF156E"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1FA5E6E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3A988390"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07FBFC04"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68FFCA9E"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39</w:t>
            </w:r>
          </w:p>
        </w:tc>
      </w:tr>
      <w:tr w:rsidR="00812E9B" w14:paraId="24097F79" w14:textId="77777777">
        <w:trPr>
          <w:trHeight w:hRule="exact" w:val="570"/>
          <w:jc w:val="center"/>
        </w:trPr>
        <w:tc>
          <w:tcPr>
            <w:tcW w:w="416" w:type="dxa"/>
            <w:vMerge/>
            <w:shd w:val="clear" w:color="auto" w:fill="auto"/>
            <w:tcMar>
              <w:left w:w="108" w:type="dxa"/>
              <w:right w:w="108" w:type="dxa"/>
            </w:tcMar>
            <w:vAlign w:val="center"/>
          </w:tcPr>
          <w:p w14:paraId="62E6949F"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42E09185"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3C3B7B86"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4.</w:t>
            </w:r>
            <w:bookmarkStart w:id="3" w:name="_Hlk66974290"/>
            <w:r>
              <w:rPr>
                <w:rFonts w:ascii="Times New Roman" w:eastAsia="仿宋_GB2312" w:hAnsi="Times New Roman" w:cs="Times New Roman"/>
                <w:kern w:val="0"/>
                <w:szCs w:val="21"/>
              </w:rPr>
              <w:t>保护第三方合法权益</w:t>
            </w:r>
            <w:bookmarkEnd w:id="3"/>
          </w:p>
        </w:tc>
        <w:tc>
          <w:tcPr>
            <w:tcW w:w="829" w:type="dxa"/>
            <w:shd w:val="clear" w:color="auto" w:fill="auto"/>
            <w:tcMar>
              <w:left w:w="108" w:type="dxa"/>
              <w:right w:w="108" w:type="dxa"/>
            </w:tcMar>
            <w:vAlign w:val="center"/>
          </w:tcPr>
          <w:p w14:paraId="50FEA636"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1044</w:t>
            </w:r>
          </w:p>
        </w:tc>
        <w:tc>
          <w:tcPr>
            <w:tcW w:w="567" w:type="dxa"/>
            <w:shd w:val="clear" w:color="auto" w:fill="auto"/>
            <w:tcMar>
              <w:left w:w="108" w:type="dxa"/>
              <w:right w:w="108" w:type="dxa"/>
            </w:tcMar>
            <w:vAlign w:val="center"/>
          </w:tcPr>
          <w:p w14:paraId="543B39F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17</w:t>
            </w:r>
          </w:p>
        </w:tc>
        <w:tc>
          <w:tcPr>
            <w:tcW w:w="567" w:type="dxa"/>
            <w:shd w:val="clear" w:color="auto" w:fill="auto"/>
            <w:tcMar>
              <w:left w:w="108" w:type="dxa"/>
              <w:right w:w="108" w:type="dxa"/>
            </w:tcMar>
            <w:vAlign w:val="center"/>
          </w:tcPr>
          <w:p w14:paraId="7F2C669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731" w:type="dxa"/>
            <w:shd w:val="clear" w:color="auto" w:fill="auto"/>
            <w:tcMar>
              <w:left w:w="108" w:type="dxa"/>
              <w:right w:w="108" w:type="dxa"/>
            </w:tcMar>
            <w:vAlign w:val="center"/>
          </w:tcPr>
          <w:p w14:paraId="65698EB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708" w:type="dxa"/>
            <w:shd w:val="clear" w:color="auto" w:fill="auto"/>
            <w:tcMar>
              <w:left w:w="108" w:type="dxa"/>
              <w:right w:w="108" w:type="dxa"/>
            </w:tcMar>
            <w:vAlign w:val="center"/>
          </w:tcPr>
          <w:p w14:paraId="1D950216"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567" w:type="dxa"/>
            <w:shd w:val="clear" w:color="auto" w:fill="auto"/>
            <w:tcMar>
              <w:left w:w="108" w:type="dxa"/>
              <w:right w:w="108" w:type="dxa"/>
            </w:tcMar>
            <w:vAlign w:val="center"/>
          </w:tcPr>
          <w:p w14:paraId="787DC64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851" w:type="dxa"/>
            <w:shd w:val="clear" w:color="auto" w:fill="auto"/>
            <w:tcMar>
              <w:left w:w="108" w:type="dxa"/>
              <w:right w:w="108" w:type="dxa"/>
            </w:tcMar>
            <w:vAlign w:val="center"/>
          </w:tcPr>
          <w:p w14:paraId="0C2C8C2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1086</w:t>
            </w:r>
          </w:p>
        </w:tc>
      </w:tr>
      <w:tr w:rsidR="00812E9B" w14:paraId="7B024016" w14:textId="77777777">
        <w:trPr>
          <w:trHeight w:hRule="exact" w:val="564"/>
          <w:jc w:val="center"/>
        </w:trPr>
        <w:tc>
          <w:tcPr>
            <w:tcW w:w="416" w:type="dxa"/>
            <w:vMerge/>
            <w:shd w:val="clear" w:color="auto" w:fill="auto"/>
            <w:tcMar>
              <w:left w:w="108" w:type="dxa"/>
              <w:right w:w="108" w:type="dxa"/>
            </w:tcMar>
            <w:vAlign w:val="center"/>
          </w:tcPr>
          <w:p w14:paraId="1B6C0D7D"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1B4E47A8"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251FCA4E"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5.</w:t>
            </w:r>
            <w:r>
              <w:rPr>
                <w:rFonts w:ascii="Times New Roman" w:eastAsia="仿宋_GB2312" w:hAnsi="Times New Roman" w:cs="Times New Roman"/>
                <w:kern w:val="0"/>
                <w:szCs w:val="21"/>
              </w:rPr>
              <w:t>属于三类内部事务信息</w:t>
            </w:r>
          </w:p>
        </w:tc>
        <w:tc>
          <w:tcPr>
            <w:tcW w:w="829" w:type="dxa"/>
            <w:shd w:val="clear" w:color="auto" w:fill="auto"/>
            <w:tcMar>
              <w:left w:w="108" w:type="dxa"/>
              <w:right w:w="108" w:type="dxa"/>
            </w:tcMar>
            <w:vAlign w:val="center"/>
          </w:tcPr>
          <w:p w14:paraId="4FA0D6B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298</w:t>
            </w:r>
          </w:p>
        </w:tc>
        <w:tc>
          <w:tcPr>
            <w:tcW w:w="567" w:type="dxa"/>
            <w:shd w:val="clear" w:color="auto" w:fill="auto"/>
            <w:tcMar>
              <w:left w:w="108" w:type="dxa"/>
              <w:right w:w="108" w:type="dxa"/>
            </w:tcMar>
            <w:vAlign w:val="center"/>
          </w:tcPr>
          <w:p w14:paraId="685B310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567" w:type="dxa"/>
            <w:shd w:val="clear" w:color="auto" w:fill="auto"/>
            <w:tcMar>
              <w:left w:w="108" w:type="dxa"/>
              <w:right w:w="108" w:type="dxa"/>
            </w:tcMar>
            <w:vAlign w:val="center"/>
          </w:tcPr>
          <w:p w14:paraId="0D73E87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731" w:type="dxa"/>
            <w:shd w:val="clear" w:color="auto" w:fill="auto"/>
            <w:tcMar>
              <w:left w:w="108" w:type="dxa"/>
              <w:right w:w="108" w:type="dxa"/>
            </w:tcMar>
            <w:vAlign w:val="center"/>
          </w:tcPr>
          <w:p w14:paraId="32AA667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708" w:type="dxa"/>
            <w:shd w:val="clear" w:color="auto" w:fill="auto"/>
            <w:tcMar>
              <w:left w:w="108" w:type="dxa"/>
              <w:right w:w="108" w:type="dxa"/>
            </w:tcMar>
            <w:vAlign w:val="center"/>
          </w:tcPr>
          <w:p w14:paraId="4E2A9EE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567" w:type="dxa"/>
            <w:shd w:val="clear" w:color="auto" w:fill="auto"/>
            <w:tcMar>
              <w:left w:w="108" w:type="dxa"/>
              <w:right w:w="108" w:type="dxa"/>
            </w:tcMar>
            <w:vAlign w:val="center"/>
          </w:tcPr>
          <w:p w14:paraId="541EE76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851" w:type="dxa"/>
            <w:shd w:val="clear" w:color="auto" w:fill="auto"/>
            <w:tcMar>
              <w:left w:w="108" w:type="dxa"/>
              <w:right w:w="108" w:type="dxa"/>
            </w:tcMar>
            <w:vAlign w:val="center"/>
          </w:tcPr>
          <w:p w14:paraId="40A0FC7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319</w:t>
            </w:r>
          </w:p>
        </w:tc>
      </w:tr>
      <w:tr w:rsidR="00812E9B" w14:paraId="6C21D193" w14:textId="77777777">
        <w:trPr>
          <w:trHeight w:hRule="exact" w:val="572"/>
          <w:jc w:val="center"/>
        </w:trPr>
        <w:tc>
          <w:tcPr>
            <w:tcW w:w="416" w:type="dxa"/>
            <w:vMerge/>
            <w:shd w:val="clear" w:color="auto" w:fill="auto"/>
            <w:tcMar>
              <w:left w:w="108" w:type="dxa"/>
              <w:right w:w="108" w:type="dxa"/>
            </w:tcMar>
            <w:vAlign w:val="center"/>
          </w:tcPr>
          <w:p w14:paraId="20618A8C"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590CEEC1"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60305068"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6.</w:t>
            </w:r>
            <w:bookmarkStart w:id="4" w:name="_Hlk66974555"/>
            <w:r>
              <w:rPr>
                <w:rFonts w:ascii="Times New Roman" w:eastAsia="仿宋_GB2312" w:hAnsi="Times New Roman" w:cs="Times New Roman"/>
                <w:kern w:val="0"/>
                <w:szCs w:val="21"/>
              </w:rPr>
              <w:t>属于四类过程性信息</w:t>
            </w:r>
            <w:bookmarkEnd w:id="4"/>
          </w:p>
        </w:tc>
        <w:tc>
          <w:tcPr>
            <w:tcW w:w="829" w:type="dxa"/>
            <w:shd w:val="clear" w:color="auto" w:fill="auto"/>
            <w:tcMar>
              <w:left w:w="108" w:type="dxa"/>
              <w:right w:w="108" w:type="dxa"/>
            </w:tcMar>
            <w:vAlign w:val="center"/>
          </w:tcPr>
          <w:p w14:paraId="38898E0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229</w:t>
            </w:r>
          </w:p>
        </w:tc>
        <w:tc>
          <w:tcPr>
            <w:tcW w:w="567" w:type="dxa"/>
            <w:shd w:val="clear" w:color="auto" w:fill="auto"/>
            <w:tcMar>
              <w:left w:w="108" w:type="dxa"/>
              <w:right w:w="108" w:type="dxa"/>
            </w:tcMar>
            <w:vAlign w:val="center"/>
          </w:tcPr>
          <w:p w14:paraId="1019AF9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567" w:type="dxa"/>
            <w:shd w:val="clear" w:color="auto" w:fill="auto"/>
            <w:tcMar>
              <w:left w:w="108" w:type="dxa"/>
              <w:right w:w="108" w:type="dxa"/>
            </w:tcMar>
            <w:vAlign w:val="center"/>
          </w:tcPr>
          <w:p w14:paraId="44728EB9"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79DA18A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3EEFFF5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18240D5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3A1FAC4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239</w:t>
            </w:r>
          </w:p>
        </w:tc>
      </w:tr>
      <w:tr w:rsidR="00812E9B" w14:paraId="3F19A1CB" w14:textId="77777777">
        <w:trPr>
          <w:trHeight w:hRule="exact" w:val="708"/>
          <w:jc w:val="center"/>
        </w:trPr>
        <w:tc>
          <w:tcPr>
            <w:tcW w:w="416" w:type="dxa"/>
            <w:vMerge/>
            <w:shd w:val="clear" w:color="auto" w:fill="auto"/>
            <w:tcMar>
              <w:left w:w="108" w:type="dxa"/>
              <w:right w:w="108" w:type="dxa"/>
            </w:tcMar>
            <w:vAlign w:val="center"/>
          </w:tcPr>
          <w:p w14:paraId="6871D8CE"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72973FF5"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2F7D9423"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7.</w:t>
            </w:r>
            <w:r>
              <w:rPr>
                <w:rFonts w:ascii="Times New Roman" w:eastAsia="仿宋_GB2312" w:hAnsi="Times New Roman" w:cs="Times New Roman"/>
                <w:kern w:val="0"/>
                <w:szCs w:val="21"/>
              </w:rPr>
              <w:t>属于行政执法案卷</w:t>
            </w:r>
          </w:p>
        </w:tc>
        <w:tc>
          <w:tcPr>
            <w:tcW w:w="829" w:type="dxa"/>
            <w:shd w:val="clear" w:color="auto" w:fill="auto"/>
            <w:tcMar>
              <w:left w:w="108" w:type="dxa"/>
              <w:right w:w="108" w:type="dxa"/>
            </w:tcMar>
            <w:vAlign w:val="center"/>
          </w:tcPr>
          <w:p w14:paraId="7FA8DF8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263</w:t>
            </w:r>
          </w:p>
        </w:tc>
        <w:tc>
          <w:tcPr>
            <w:tcW w:w="567" w:type="dxa"/>
            <w:shd w:val="clear" w:color="auto" w:fill="auto"/>
            <w:tcMar>
              <w:left w:w="108" w:type="dxa"/>
              <w:right w:w="108" w:type="dxa"/>
            </w:tcMar>
            <w:vAlign w:val="center"/>
          </w:tcPr>
          <w:p w14:paraId="0C95001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567" w:type="dxa"/>
            <w:shd w:val="clear" w:color="auto" w:fill="auto"/>
            <w:tcMar>
              <w:left w:w="108" w:type="dxa"/>
              <w:right w:w="108" w:type="dxa"/>
            </w:tcMar>
            <w:vAlign w:val="center"/>
          </w:tcPr>
          <w:p w14:paraId="4B311A24"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35C4C23A"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585BFB2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5BBF812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5CC9A70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266</w:t>
            </w:r>
          </w:p>
        </w:tc>
      </w:tr>
      <w:tr w:rsidR="00812E9B" w14:paraId="49A5B9A9" w14:textId="77777777">
        <w:trPr>
          <w:trHeight w:hRule="exact" w:val="576"/>
          <w:jc w:val="center"/>
        </w:trPr>
        <w:tc>
          <w:tcPr>
            <w:tcW w:w="416" w:type="dxa"/>
            <w:vMerge/>
            <w:shd w:val="clear" w:color="auto" w:fill="auto"/>
            <w:tcMar>
              <w:left w:w="108" w:type="dxa"/>
              <w:right w:w="108" w:type="dxa"/>
            </w:tcMar>
            <w:vAlign w:val="center"/>
          </w:tcPr>
          <w:p w14:paraId="5560B1F3"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7997A2DF"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49503EEB"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8.</w:t>
            </w:r>
            <w:bookmarkStart w:id="5" w:name="_Hlk66975211"/>
            <w:r>
              <w:rPr>
                <w:rFonts w:ascii="Times New Roman" w:eastAsia="仿宋_GB2312" w:hAnsi="Times New Roman" w:cs="Times New Roman"/>
                <w:kern w:val="0"/>
                <w:szCs w:val="21"/>
              </w:rPr>
              <w:t>属于行政查询事项</w:t>
            </w:r>
            <w:bookmarkEnd w:id="5"/>
          </w:p>
        </w:tc>
        <w:tc>
          <w:tcPr>
            <w:tcW w:w="829" w:type="dxa"/>
            <w:shd w:val="clear" w:color="auto" w:fill="auto"/>
            <w:tcMar>
              <w:left w:w="108" w:type="dxa"/>
              <w:right w:w="108" w:type="dxa"/>
            </w:tcMar>
            <w:vAlign w:val="center"/>
          </w:tcPr>
          <w:p w14:paraId="268AAB9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320</w:t>
            </w:r>
          </w:p>
        </w:tc>
        <w:tc>
          <w:tcPr>
            <w:tcW w:w="567" w:type="dxa"/>
            <w:shd w:val="clear" w:color="auto" w:fill="auto"/>
            <w:tcMar>
              <w:left w:w="108" w:type="dxa"/>
              <w:right w:w="108" w:type="dxa"/>
            </w:tcMar>
            <w:vAlign w:val="center"/>
          </w:tcPr>
          <w:p w14:paraId="30E5A11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14</w:t>
            </w:r>
          </w:p>
        </w:tc>
        <w:tc>
          <w:tcPr>
            <w:tcW w:w="567" w:type="dxa"/>
            <w:shd w:val="clear" w:color="auto" w:fill="auto"/>
            <w:tcMar>
              <w:left w:w="108" w:type="dxa"/>
              <w:right w:w="108" w:type="dxa"/>
            </w:tcMar>
            <w:vAlign w:val="center"/>
          </w:tcPr>
          <w:p w14:paraId="7462A68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079B96D0"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76F55026"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3C10B08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851" w:type="dxa"/>
            <w:shd w:val="clear" w:color="auto" w:fill="auto"/>
            <w:tcMar>
              <w:left w:w="108" w:type="dxa"/>
              <w:right w:w="108" w:type="dxa"/>
            </w:tcMar>
            <w:vAlign w:val="center"/>
          </w:tcPr>
          <w:p w14:paraId="6751D6AE"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336</w:t>
            </w:r>
          </w:p>
        </w:tc>
      </w:tr>
      <w:tr w:rsidR="00812E9B" w14:paraId="7289B44C" w14:textId="77777777">
        <w:trPr>
          <w:trHeight w:hRule="exact" w:val="556"/>
          <w:jc w:val="center"/>
        </w:trPr>
        <w:tc>
          <w:tcPr>
            <w:tcW w:w="416" w:type="dxa"/>
            <w:vMerge/>
            <w:shd w:val="clear" w:color="auto" w:fill="auto"/>
            <w:tcMar>
              <w:left w:w="108" w:type="dxa"/>
              <w:right w:w="108" w:type="dxa"/>
            </w:tcMar>
            <w:vAlign w:val="center"/>
          </w:tcPr>
          <w:p w14:paraId="75D06A2C" w14:textId="77777777" w:rsidR="00812E9B" w:rsidRDefault="00812E9B">
            <w:pPr>
              <w:spacing w:line="600" w:lineRule="exact"/>
              <w:rPr>
                <w:rFonts w:ascii="Times New Roman" w:eastAsia="黑体" w:hAnsi="Times New Roman" w:cs="Times New Roman"/>
                <w:szCs w:val="21"/>
              </w:rPr>
            </w:pPr>
          </w:p>
        </w:tc>
        <w:tc>
          <w:tcPr>
            <w:tcW w:w="1701" w:type="dxa"/>
            <w:vMerge w:val="restart"/>
            <w:shd w:val="clear" w:color="auto" w:fill="auto"/>
            <w:tcMar>
              <w:left w:w="108" w:type="dxa"/>
              <w:right w:w="108" w:type="dxa"/>
            </w:tcMar>
            <w:vAlign w:val="center"/>
          </w:tcPr>
          <w:p w14:paraId="57861BC2" w14:textId="77777777" w:rsidR="00812E9B" w:rsidRDefault="00000000">
            <w:pPr>
              <w:widowControl/>
              <w:spacing w:line="600" w:lineRule="exact"/>
              <w:ind w:leftChars="-51" w:left="-107"/>
              <w:rPr>
                <w:rFonts w:ascii="Times New Roman" w:eastAsia="黑体" w:hAnsi="Times New Roman" w:cs="Times New Roman"/>
                <w:szCs w:val="21"/>
              </w:rPr>
            </w:pPr>
            <w:r>
              <w:rPr>
                <w:rFonts w:ascii="Times New Roman" w:eastAsia="黑体" w:hAnsi="Times New Roman" w:cs="Times New Roman"/>
                <w:kern w:val="0"/>
                <w:szCs w:val="21"/>
              </w:rPr>
              <w:t>（四）无法提供</w:t>
            </w:r>
          </w:p>
        </w:tc>
        <w:tc>
          <w:tcPr>
            <w:tcW w:w="2976" w:type="dxa"/>
            <w:shd w:val="clear" w:color="auto" w:fill="auto"/>
            <w:tcMar>
              <w:left w:w="108" w:type="dxa"/>
              <w:right w:w="108" w:type="dxa"/>
            </w:tcMar>
            <w:vAlign w:val="center"/>
          </w:tcPr>
          <w:p w14:paraId="4EE3D265"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1.</w:t>
            </w:r>
            <w:r>
              <w:rPr>
                <w:rFonts w:ascii="Times New Roman" w:eastAsia="仿宋_GB2312" w:hAnsi="Times New Roman" w:cs="Times New Roman"/>
                <w:kern w:val="0"/>
                <w:szCs w:val="21"/>
              </w:rPr>
              <w:t>本机关不掌握相关政府信息</w:t>
            </w:r>
          </w:p>
        </w:tc>
        <w:tc>
          <w:tcPr>
            <w:tcW w:w="829" w:type="dxa"/>
            <w:shd w:val="clear" w:color="auto" w:fill="auto"/>
            <w:tcMar>
              <w:left w:w="108" w:type="dxa"/>
              <w:right w:w="108" w:type="dxa"/>
            </w:tcMar>
            <w:vAlign w:val="center"/>
          </w:tcPr>
          <w:p w14:paraId="150B3C45"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11259</w:t>
            </w:r>
          </w:p>
        </w:tc>
        <w:tc>
          <w:tcPr>
            <w:tcW w:w="567" w:type="dxa"/>
            <w:shd w:val="clear" w:color="auto" w:fill="auto"/>
            <w:tcMar>
              <w:left w:w="108" w:type="dxa"/>
              <w:right w:w="108" w:type="dxa"/>
            </w:tcMar>
            <w:vAlign w:val="center"/>
          </w:tcPr>
          <w:p w14:paraId="6B13D2C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284</w:t>
            </w:r>
          </w:p>
        </w:tc>
        <w:tc>
          <w:tcPr>
            <w:tcW w:w="567" w:type="dxa"/>
            <w:shd w:val="clear" w:color="auto" w:fill="auto"/>
            <w:tcMar>
              <w:left w:w="108" w:type="dxa"/>
              <w:right w:w="108" w:type="dxa"/>
            </w:tcMar>
            <w:vAlign w:val="center"/>
          </w:tcPr>
          <w:p w14:paraId="728AAAA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731" w:type="dxa"/>
            <w:shd w:val="clear" w:color="auto" w:fill="auto"/>
            <w:tcMar>
              <w:left w:w="108" w:type="dxa"/>
              <w:right w:w="108" w:type="dxa"/>
            </w:tcMar>
            <w:vAlign w:val="center"/>
          </w:tcPr>
          <w:p w14:paraId="4CC0F07A"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708" w:type="dxa"/>
            <w:shd w:val="clear" w:color="auto" w:fill="auto"/>
            <w:tcMar>
              <w:left w:w="108" w:type="dxa"/>
              <w:right w:w="108" w:type="dxa"/>
            </w:tcMar>
            <w:vAlign w:val="center"/>
          </w:tcPr>
          <w:p w14:paraId="20D65A4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43</w:t>
            </w:r>
          </w:p>
        </w:tc>
        <w:tc>
          <w:tcPr>
            <w:tcW w:w="567" w:type="dxa"/>
            <w:shd w:val="clear" w:color="auto" w:fill="auto"/>
            <w:tcMar>
              <w:left w:w="108" w:type="dxa"/>
              <w:right w:w="108" w:type="dxa"/>
            </w:tcMar>
            <w:vAlign w:val="center"/>
          </w:tcPr>
          <w:p w14:paraId="5A513299"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851" w:type="dxa"/>
            <w:shd w:val="clear" w:color="auto" w:fill="auto"/>
            <w:tcMar>
              <w:left w:w="108" w:type="dxa"/>
              <w:right w:w="108" w:type="dxa"/>
            </w:tcMar>
            <w:vAlign w:val="center"/>
          </w:tcPr>
          <w:p w14:paraId="780F004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11615</w:t>
            </w:r>
          </w:p>
        </w:tc>
      </w:tr>
      <w:tr w:rsidR="00812E9B" w14:paraId="24CB4A67" w14:textId="77777777">
        <w:trPr>
          <w:trHeight w:hRule="exact" w:val="564"/>
          <w:jc w:val="center"/>
        </w:trPr>
        <w:tc>
          <w:tcPr>
            <w:tcW w:w="416" w:type="dxa"/>
            <w:vMerge/>
            <w:shd w:val="clear" w:color="auto" w:fill="auto"/>
            <w:tcMar>
              <w:left w:w="108" w:type="dxa"/>
              <w:right w:w="108" w:type="dxa"/>
            </w:tcMar>
            <w:vAlign w:val="center"/>
          </w:tcPr>
          <w:p w14:paraId="27D6BD06"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741E5AEE" w14:textId="77777777" w:rsidR="00812E9B" w:rsidRDefault="00812E9B">
            <w:pPr>
              <w:spacing w:line="600" w:lineRule="exact"/>
              <w:ind w:leftChars="-51" w:left="-107"/>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4B934ECD"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2.</w:t>
            </w:r>
            <w:bookmarkStart w:id="6" w:name="_Hlk66975392"/>
            <w:r>
              <w:rPr>
                <w:rFonts w:ascii="Times New Roman" w:eastAsia="仿宋_GB2312" w:hAnsi="Times New Roman" w:cs="Times New Roman"/>
                <w:kern w:val="0"/>
                <w:szCs w:val="21"/>
              </w:rPr>
              <w:t>没有现成信息需要另行制作</w:t>
            </w:r>
            <w:bookmarkEnd w:id="6"/>
          </w:p>
        </w:tc>
        <w:tc>
          <w:tcPr>
            <w:tcW w:w="829" w:type="dxa"/>
            <w:shd w:val="clear" w:color="auto" w:fill="auto"/>
            <w:tcMar>
              <w:left w:w="108" w:type="dxa"/>
              <w:right w:w="108" w:type="dxa"/>
            </w:tcMar>
            <w:vAlign w:val="center"/>
          </w:tcPr>
          <w:p w14:paraId="6D42EF8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377</w:t>
            </w:r>
          </w:p>
        </w:tc>
        <w:tc>
          <w:tcPr>
            <w:tcW w:w="567" w:type="dxa"/>
            <w:shd w:val="clear" w:color="auto" w:fill="auto"/>
            <w:tcMar>
              <w:left w:w="108" w:type="dxa"/>
              <w:right w:w="108" w:type="dxa"/>
            </w:tcMar>
            <w:vAlign w:val="center"/>
          </w:tcPr>
          <w:p w14:paraId="3BEB0A5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19</w:t>
            </w:r>
          </w:p>
        </w:tc>
        <w:tc>
          <w:tcPr>
            <w:tcW w:w="567" w:type="dxa"/>
            <w:shd w:val="clear" w:color="auto" w:fill="auto"/>
            <w:tcMar>
              <w:left w:w="108" w:type="dxa"/>
              <w:right w:w="108" w:type="dxa"/>
            </w:tcMar>
            <w:vAlign w:val="center"/>
          </w:tcPr>
          <w:p w14:paraId="42F7B95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731" w:type="dxa"/>
            <w:shd w:val="clear" w:color="auto" w:fill="auto"/>
            <w:tcMar>
              <w:left w:w="108" w:type="dxa"/>
              <w:right w:w="108" w:type="dxa"/>
            </w:tcMar>
            <w:vAlign w:val="center"/>
          </w:tcPr>
          <w:p w14:paraId="348E185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708" w:type="dxa"/>
            <w:shd w:val="clear" w:color="auto" w:fill="auto"/>
            <w:tcMar>
              <w:left w:w="108" w:type="dxa"/>
              <w:right w:w="108" w:type="dxa"/>
            </w:tcMar>
            <w:vAlign w:val="center"/>
          </w:tcPr>
          <w:p w14:paraId="4A49BF3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567" w:type="dxa"/>
            <w:shd w:val="clear" w:color="auto" w:fill="auto"/>
            <w:tcMar>
              <w:left w:w="108" w:type="dxa"/>
              <w:right w:w="108" w:type="dxa"/>
            </w:tcMar>
            <w:vAlign w:val="center"/>
          </w:tcPr>
          <w:p w14:paraId="0A397E7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851" w:type="dxa"/>
            <w:shd w:val="clear" w:color="auto" w:fill="auto"/>
            <w:tcMar>
              <w:left w:w="108" w:type="dxa"/>
              <w:right w:w="108" w:type="dxa"/>
            </w:tcMar>
            <w:vAlign w:val="center"/>
          </w:tcPr>
          <w:p w14:paraId="5AB6759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409</w:t>
            </w:r>
          </w:p>
        </w:tc>
      </w:tr>
      <w:tr w:rsidR="00812E9B" w14:paraId="0A91F652" w14:textId="77777777">
        <w:trPr>
          <w:trHeight w:hRule="exact" w:val="572"/>
          <w:jc w:val="center"/>
        </w:trPr>
        <w:tc>
          <w:tcPr>
            <w:tcW w:w="416" w:type="dxa"/>
            <w:vMerge/>
            <w:shd w:val="clear" w:color="auto" w:fill="auto"/>
            <w:tcMar>
              <w:left w:w="108" w:type="dxa"/>
              <w:right w:w="108" w:type="dxa"/>
            </w:tcMar>
            <w:vAlign w:val="center"/>
          </w:tcPr>
          <w:p w14:paraId="25F20BA4"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51B54B39" w14:textId="77777777" w:rsidR="00812E9B" w:rsidRDefault="00812E9B">
            <w:pPr>
              <w:spacing w:line="600" w:lineRule="exact"/>
              <w:ind w:leftChars="-51" w:left="-107"/>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3313AFD6"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3.</w:t>
            </w:r>
            <w:bookmarkStart w:id="7" w:name="_Hlk66975466"/>
            <w:r>
              <w:rPr>
                <w:rFonts w:ascii="Times New Roman" w:eastAsia="仿宋_GB2312" w:hAnsi="Times New Roman" w:cs="Times New Roman"/>
                <w:kern w:val="0"/>
                <w:szCs w:val="21"/>
              </w:rPr>
              <w:t>补正后申请内容仍不明确</w:t>
            </w:r>
            <w:bookmarkEnd w:id="7"/>
          </w:p>
        </w:tc>
        <w:tc>
          <w:tcPr>
            <w:tcW w:w="829" w:type="dxa"/>
            <w:shd w:val="clear" w:color="auto" w:fill="auto"/>
            <w:tcMar>
              <w:left w:w="108" w:type="dxa"/>
              <w:right w:w="108" w:type="dxa"/>
            </w:tcMar>
            <w:vAlign w:val="center"/>
          </w:tcPr>
          <w:p w14:paraId="154D6E53"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103</w:t>
            </w:r>
          </w:p>
        </w:tc>
        <w:tc>
          <w:tcPr>
            <w:tcW w:w="567" w:type="dxa"/>
            <w:shd w:val="clear" w:color="auto" w:fill="auto"/>
            <w:tcMar>
              <w:left w:w="108" w:type="dxa"/>
              <w:right w:w="108" w:type="dxa"/>
            </w:tcMar>
            <w:vAlign w:val="center"/>
          </w:tcPr>
          <w:p w14:paraId="568E27D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567" w:type="dxa"/>
            <w:shd w:val="clear" w:color="auto" w:fill="auto"/>
            <w:tcMar>
              <w:left w:w="108" w:type="dxa"/>
              <w:right w:w="108" w:type="dxa"/>
            </w:tcMar>
            <w:vAlign w:val="center"/>
          </w:tcPr>
          <w:p w14:paraId="269C2E9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50B4208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29500A46"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7EA6DA3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620F934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104</w:t>
            </w:r>
          </w:p>
        </w:tc>
      </w:tr>
      <w:tr w:rsidR="00812E9B" w14:paraId="5D24BBA3" w14:textId="77777777">
        <w:trPr>
          <w:trHeight w:hRule="exact" w:val="708"/>
          <w:jc w:val="center"/>
        </w:trPr>
        <w:tc>
          <w:tcPr>
            <w:tcW w:w="416" w:type="dxa"/>
            <w:vMerge/>
            <w:shd w:val="clear" w:color="auto" w:fill="auto"/>
            <w:tcMar>
              <w:left w:w="108" w:type="dxa"/>
              <w:right w:w="108" w:type="dxa"/>
            </w:tcMar>
            <w:vAlign w:val="center"/>
          </w:tcPr>
          <w:p w14:paraId="1CA34E01" w14:textId="77777777" w:rsidR="00812E9B" w:rsidRDefault="00812E9B">
            <w:pPr>
              <w:spacing w:line="600" w:lineRule="exact"/>
              <w:rPr>
                <w:rFonts w:ascii="Times New Roman" w:eastAsia="黑体" w:hAnsi="Times New Roman" w:cs="Times New Roman"/>
                <w:szCs w:val="21"/>
              </w:rPr>
            </w:pPr>
          </w:p>
        </w:tc>
        <w:tc>
          <w:tcPr>
            <w:tcW w:w="1701" w:type="dxa"/>
            <w:vMerge w:val="restart"/>
            <w:shd w:val="clear" w:color="auto" w:fill="auto"/>
            <w:tcMar>
              <w:left w:w="108" w:type="dxa"/>
              <w:right w:w="108" w:type="dxa"/>
            </w:tcMar>
            <w:vAlign w:val="center"/>
          </w:tcPr>
          <w:p w14:paraId="3FF44844" w14:textId="77777777" w:rsidR="00812E9B" w:rsidRDefault="00000000">
            <w:pPr>
              <w:widowControl/>
              <w:spacing w:line="600" w:lineRule="exact"/>
              <w:ind w:leftChars="-51" w:left="-107"/>
              <w:rPr>
                <w:rFonts w:ascii="Times New Roman" w:eastAsia="黑体" w:hAnsi="Times New Roman" w:cs="Times New Roman"/>
                <w:szCs w:val="21"/>
              </w:rPr>
            </w:pPr>
            <w:r>
              <w:rPr>
                <w:rFonts w:ascii="Times New Roman" w:eastAsia="黑体" w:hAnsi="Times New Roman" w:cs="Times New Roman"/>
                <w:kern w:val="0"/>
                <w:szCs w:val="21"/>
              </w:rPr>
              <w:t>（五）</w:t>
            </w:r>
            <w:proofErr w:type="gramStart"/>
            <w:r>
              <w:rPr>
                <w:rFonts w:ascii="Times New Roman" w:eastAsia="黑体" w:hAnsi="Times New Roman" w:cs="Times New Roman"/>
                <w:kern w:val="0"/>
                <w:szCs w:val="21"/>
              </w:rPr>
              <w:t>不予处理</w:t>
            </w:r>
            <w:proofErr w:type="gramEnd"/>
          </w:p>
        </w:tc>
        <w:tc>
          <w:tcPr>
            <w:tcW w:w="2976" w:type="dxa"/>
            <w:shd w:val="clear" w:color="auto" w:fill="auto"/>
            <w:tcMar>
              <w:left w:w="108" w:type="dxa"/>
              <w:right w:w="108" w:type="dxa"/>
            </w:tcMar>
            <w:vAlign w:val="center"/>
          </w:tcPr>
          <w:p w14:paraId="1985329F"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1.</w:t>
            </w:r>
            <w:bookmarkStart w:id="8" w:name="_Hlk66975537"/>
            <w:r>
              <w:rPr>
                <w:rFonts w:ascii="Times New Roman" w:eastAsia="仿宋_GB2312" w:hAnsi="Times New Roman" w:cs="Times New Roman"/>
                <w:kern w:val="0"/>
                <w:szCs w:val="21"/>
              </w:rPr>
              <w:t>信访举报投诉类申请</w:t>
            </w:r>
            <w:bookmarkEnd w:id="8"/>
          </w:p>
        </w:tc>
        <w:tc>
          <w:tcPr>
            <w:tcW w:w="829" w:type="dxa"/>
            <w:shd w:val="clear" w:color="auto" w:fill="auto"/>
            <w:tcMar>
              <w:left w:w="108" w:type="dxa"/>
              <w:right w:w="108" w:type="dxa"/>
            </w:tcMar>
            <w:vAlign w:val="center"/>
          </w:tcPr>
          <w:p w14:paraId="25F3B00A"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309</w:t>
            </w:r>
          </w:p>
        </w:tc>
        <w:tc>
          <w:tcPr>
            <w:tcW w:w="567" w:type="dxa"/>
            <w:shd w:val="clear" w:color="auto" w:fill="auto"/>
            <w:tcMar>
              <w:left w:w="108" w:type="dxa"/>
              <w:right w:w="108" w:type="dxa"/>
            </w:tcMar>
            <w:vAlign w:val="center"/>
          </w:tcPr>
          <w:p w14:paraId="10B544E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567" w:type="dxa"/>
            <w:shd w:val="clear" w:color="auto" w:fill="auto"/>
            <w:tcMar>
              <w:left w:w="108" w:type="dxa"/>
              <w:right w:w="108" w:type="dxa"/>
            </w:tcMar>
            <w:vAlign w:val="center"/>
          </w:tcPr>
          <w:p w14:paraId="15212085"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32E9568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3CAA169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6431A7F9"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6005E4B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311</w:t>
            </w:r>
          </w:p>
        </w:tc>
      </w:tr>
      <w:tr w:rsidR="00812E9B" w14:paraId="5E739B26" w14:textId="77777777">
        <w:trPr>
          <w:trHeight w:hRule="exact" w:val="563"/>
          <w:jc w:val="center"/>
        </w:trPr>
        <w:tc>
          <w:tcPr>
            <w:tcW w:w="416" w:type="dxa"/>
            <w:vMerge/>
            <w:shd w:val="clear" w:color="auto" w:fill="auto"/>
            <w:tcMar>
              <w:left w:w="108" w:type="dxa"/>
              <w:right w:w="108" w:type="dxa"/>
            </w:tcMar>
            <w:vAlign w:val="center"/>
          </w:tcPr>
          <w:p w14:paraId="653F5705"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49FA4FDB"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22D653C3"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2.</w:t>
            </w:r>
            <w:r>
              <w:rPr>
                <w:rFonts w:ascii="Times New Roman" w:eastAsia="仿宋_GB2312" w:hAnsi="Times New Roman" w:cs="Times New Roman"/>
                <w:kern w:val="0"/>
                <w:szCs w:val="21"/>
              </w:rPr>
              <w:t>重复申请</w:t>
            </w:r>
          </w:p>
        </w:tc>
        <w:tc>
          <w:tcPr>
            <w:tcW w:w="829" w:type="dxa"/>
            <w:shd w:val="clear" w:color="auto" w:fill="auto"/>
            <w:tcMar>
              <w:left w:w="108" w:type="dxa"/>
              <w:right w:w="108" w:type="dxa"/>
            </w:tcMar>
            <w:vAlign w:val="center"/>
          </w:tcPr>
          <w:p w14:paraId="1358131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325</w:t>
            </w:r>
          </w:p>
        </w:tc>
        <w:tc>
          <w:tcPr>
            <w:tcW w:w="567" w:type="dxa"/>
            <w:shd w:val="clear" w:color="auto" w:fill="auto"/>
            <w:tcMar>
              <w:left w:w="108" w:type="dxa"/>
              <w:right w:w="108" w:type="dxa"/>
            </w:tcMar>
            <w:vAlign w:val="center"/>
          </w:tcPr>
          <w:p w14:paraId="34E13C7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567" w:type="dxa"/>
            <w:shd w:val="clear" w:color="auto" w:fill="auto"/>
            <w:tcMar>
              <w:left w:w="108" w:type="dxa"/>
              <w:right w:w="108" w:type="dxa"/>
            </w:tcMar>
            <w:vAlign w:val="center"/>
          </w:tcPr>
          <w:p w14:paraId="3FDA46C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33DAF393"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71BF24B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567" w:type="dxa"/>
            <w:shd w:val="clear" w:color="auto" w:fill="auto"/>
            <w:tcMar>
              <w:left w:w="108" w:type="dxa"/>
              <w:right w:w="108" w:type="dxa"/>
            </w:tcMar>
            <w:vAlign w:val="center"/>
          </w:tcPr>
          <w:p w14:paraId="4CF08A46"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42F57AC4"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332</w:t>
            </w:r>
          </w:p>
        </w:tc>
      </w:tr>
      <w:tr w:rsidR="00812E9B" w14:paraId="0E8CF807" w14:textId="77777777">
        <w:trPr>
          <w:trHeight w:hRule="exact" w:val="585"/>
          <w:jc w:val="center"/>
        </w:trPr>
        <w:tc>
          <w:tcPr>
            <w:tcW w:w="416" w:type="dxa"/>
            <w:vMerge/>
            <w:shd w:val="clear" w:color="auto" w:fill="auto"/>
            <w:tcMar>
              <w:left w:w="108" w:type="dxa"/>
              <w:right w:w="108" w:type="dxa"/>
            </w:tcMar>
            <w:vAlign w:val="center"/>
          </w:tcPr>
          <w:p w14:paraId="1413FADE"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5D8BC600"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5637E669" w14:textId="77777777" w:rsidR="00812E9B" w:rsidRDefault="00000000">
            <w:pPr>
              <w:widowControl/>
              <w:spacing w:line="600" w:lineRule="exact"/>
              <w:rPr>
                <w:rFonts w:ascii="Times New Roman" w:eastAsia="仿宋_GB2312" w:hAnsi="Times New Roman" w:cs="Times New Roman"/>
                <w:szCs w:val="21"/>
              </w:rPr>
            </w:pPr>
            <w:r>
              <w:rPr>
                <w:rFonts w:ascii="Times New Roman" w:eastAsia="仿宋_GB2312" w:hAnsi="Times New Roman" w:cs="Times New Roman"/>
                <w:kern w:val="0"/>
                <w:szCs w:val="21"/>
              </w:rPr>
              <w:t>3.</w:t>
            </w:r>
            <w:r>
              <w:rPr>
                <w:rFonts w:ascii="Times New Roman" w:eastAsia="仿宋_GB2312" w:hAnsi="Times New Roman" w:cs="Times New Roman"/>
                <w:kern w:val="0"/>
                <w:szCs w:val="21"/>
              </w:rPr>
              <w:t>要求提供公开出版物</w:t>
            </w:r>
          </w:p>
        </w:tc>
        <w:tc>
          <w:tcPr>
            <w:tcW w:w="829" w:type="dxa"/>
            <w:shd w:val="clear" w:color="auto" w:fill="auto"/>
            <w:tcMar>
              <w:left w:w="108" w:type="dxa"/>
              <w:right w:w="108" w:type="dxa"/>
            </w:tcMar>
            <w:vAlign w:val="center"/>
          </w:tcPr>
          <w:p w14:paraId="398F2003"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567" w:type="dxa"/>
            <w:shd w:val="clear" w:color="auto" w:fill="auto"/>
            <w:tcMar>
              <w:left w:w="108" w:type="dxa"/>
              <w:right w:w="108" w:type="dxa"/>
            </w:tcMar>
            <w:vAlign w:val="center"/>
          </w:tcPr>
          <w:p w14:paraId="42CBF313"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2538ED8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13FD34C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73DE7CD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39697B43"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1EAA83BF"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w:t>
            </w:r>
          </w:p>
        </w:tc>
      </w:tr>
      <w:tr w:rsidR="00812E9B" w14:paraId="2483757D" w14:textId="77777777">
        <w:trPr>
          <w:trHeight w:hRule="exact" w:val="565"/>
          <w:jc w:val="center"/>
        </w:trPr>
        <w:tc>
          <w:tcPr>
            <w:tcW w:w="416" w:type="dxa"/>
            <w:vMerge/>
            <w:shd w:val="clear" w:color="auto" w:fill="auto"/>
            <w:tcMar>
              <w:left w:w="108" w:type="dxa"/>
              <w:right w:w="108" w:type="dxa"/>
            </w:tcMar>
            <w:vAlign w:val="center"/>
          </w:tcPr>
          <w:p w14:paraId="5113DC84"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01FF81BC"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4220AB3D" w14:textId="77777777" w:rsidR="00812E9B" w:rsidRDefault="00000000">
            <w:pPr>
              <w:widowControl/>
              <w:spacing w:line="600" w:lineRule="exact"/>
              <w:rPr>
                <w:rFonts w:ascii="Times New Roman" w:eastAsia="仿宋_GB2312" w:hAnsi="Times New Roman" w:cs="Times New Roman"/>
                <w:szCs w:val="21"/>
              </w:rPr>
            </w:pPr>
            <w:r>
              <w:rPr>
                <w:rFonts w:ascii="Times New Roman" w:eastAsia="仿宋_GB2312" w:hAnsi="Times New Roman" w:cs="Times New Roman"/>
                <w:kern w:val="0"/>
                <w:szCs w:val="21"/>
              </w:rPr>
              <w:t>4.</w:t>
            </w:r>
            <w:r>
              <w:rPr>
                <w:rFonts w:ascii="Times New Roman" w:eastAsia="仿宋_GB2312" w:hAnsi="Times New Roman" w:cs="Times New Roman"/>
                <w:kern w:val="0"/>
                <w:szCs w:val="21"/>
              </w:rPr>
              <w:t>无正当理由大量反复申请</w:t>
            </w:r>
          </w:p>
        </w:tc>
        <w:tc>
          <w:tcPr>
            <w:tcW w:w="829" w:type="dxa"/>
            <w:shd w:val="clear" w:color="auto" w:fill="auto"/>
            <w:tcMar>
              <w:left w:w="108" w:type="dxa"/>
              <w:right w:w="108" w:type="dxa"/>
            </w:tcMar>
            <w:vAlign w:val="center"/>
          </w:tcPr>
          <w:p w14:paraId="7A5627D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170</w:t>
            </w:r>
          </w:p>
        </w:tc>
        <w:tc>
          <w:tcPr>
            <w:tcW w:w="567" w:type="dxa"/>
            <w:shd w:val="clear" w:color="auto" w:fill="auto"/>
            <w:tcMar>
              <w:left w:w="108" w:type="dxa"/>
              <w:right w:w="108" w:type="dxa"/>
            </w:tcMar>
            <w:vAlign w:val="center"/>
          </w:tcPr>
          <w:p w14:paraId="56443EE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132EC47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0433F62E"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5877FA3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0DC79A21"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3D709EA8"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170</w:t>
            </w:r>
          </w:p>
        </w:tc>
      </w:tr>
      <w:tr w:rsidR="00812E9B" w14:paraId="30AF8FEF" w14:textId="77777777">
        <w:trPr>
          <w:jc w:val="center"/>
        </w:trPr>
        <w:tc>
          <w:tcPr>
            <w:tcW w:w="416" w:type="dxa"/>
            <w:vMerge/>
            <w:shd w:val="clear" w:color="auto" w:fill="auto"/>
            <w:tcMar>
              <w:left w:w="108" w:type="dxa"/>
              <w:right w:w="108" w:type="dxa"/>
            </w:tcMar>
            <w:vAlign w:val="center"/>
          </w:tcPr>
          <w:p w14:paraId="623F09CF"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27683C64" w14:textId="77777777" w:rsidR="00812E9B" w:rsidRDefault="00812E9B">
            <w:pPr>
              <w:spacing w:line="600" w:lineRule="exact"/>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64E19B46"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kern w:val="0"/>
                <w:szCs w:val="21"/>
              </w:rPr>
              <w:t>5.</w:t>
            </w:r>
            <w:r>
              <w:rPr>
                <w:rFonts w:ascii="Times New Roman" w:eastAsia="仿宋_GB2312" w:hAnsi="Times New Roman" w:cs="Times New Roman"/>
                <w:kern w:val="0"/>
                <w:szCs w:val="21"/>
              </w:rPr>
              <w:t>要求行政机关确认或重新</w:t>
            </w:r>
          </w:p>
          <w:p w14:paraId="3E0EA931" w14:textId="77777777" w:rsidR="00812E9B" w:rsidRDefault="00000000">
            <w:pPr>
              <w:widowControl/>
              <w:spacing w:line="600" w:lineRule="exact"/>
              <w:rPr>
                <w:rFonts w:ascii="Times New Roman" w:eastAsia="仿宋_GB2312" w:hAnsi="Times New Roman" w:cs="Times New Roman"/>
                <w:szCs w:val="21"/>
              </w:rPr>
            </w:pPr>
            <w:r>
              <w:rPr>
                <w:rFonts w:ascii="Times New Roman" w:eastAsia="仿宋_GB2312" w:hAnsi="Times New Roman" w:cs="Times New Roman"/>
                <w:kern w:val="0"/>
                <w:szCs w:val="21"/>
              </w:rPr>
              <w:t>出具已获取信息</w:t>
            </w:r>
          </w:p>
        </w:tc>
        <w:tc>
          <w:tcPr>
            <w:tcW w:w="829" w:type="dxa"/>
            <w:shd w:val="clear" w:color="auto" w:fill="auto"/>
            <w:tcMar>
              <w:left w:w="108" w:type="dxa"/>
              <w:right w:w="108" w:type="dxa"/>
            </w:tcMar>
            <w:vAlign w:val="center"/>
          </w:tcPr>
          <w:p w14:paraId="537D91B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31</w:t>
            </w:r>
          </w:p>
        </w:tc>
        <w:tc>
          <w:tcPr>
            <w:tcW w:w="567" w:type="dxa"/>
            <w:shd w:val="clear" w:color="auto" w:fill="auto"/>
            <w:tcMar>
              <w:left w:w="108" w:type="dxa"/>
              <w:right w:w="108" w:type="dxa"/>
            </w:tcMar>
            <w:vAlign w:val="center"/>
          </w:tcPr>
          <w:p w14:paraId="134B2BCA"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567" w:type="dxa"/>
            <w:shd w:val="clear" w:color="auto" w:fill="auto"/>
            <w:tcMar>
              <w:left w:w="108" w:type="dxa"/>
              <w:right w:w="108" w:type="dxa"/>
            </w:tcMar>
            <w:vAlign w:val="center"/>
          </w:tcPr>
          <w:p w14:paraId="45DB9ADB"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14D09F6C"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2280C03D"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405B9B0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1556741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33</w:t>
            </w:r>
          </w:p>
        </w:tc>
      </w:tr>
      <w:tr w:rsidR="00812E9B" w14:paraId="51EBFA32" w14:textId="77777777">
        <w:trPr>
          <w:jc w:val="center"/>
        </w:trPr>
        <w:tc>
          <w:tcPr>
            <w:tcW w:w="416" w:type="dxa"/>
            <w:vMerge/>
            <w:shd w:val="clear" w:color="auto" w:fill="auto"/>
            <w:tcMar>
              <w:left w:w="108" w:type="dxa"/>
              <w:right w:w="108" w:type="dxa"/>
            </w:tcMar>
            <w:vAlign w:val="center"/>
          </w:tcPr>
          <w:p w14:paraId="5A31A2E8" w14:textId="77777777" w:rsidR="00812E9B" w:rsidRDefault="00812E9B">
            <w:pPr>
              <w:spacing w:line="600" w:lineRule="exact"/>
              <w:rPr>
                <w:rFonts w:ascii="Times New Roman" w:eastAsia="黑体" w:hAnsi="Times New Roman" w:cs="Times New Roman"/>
                <w:szCs w:val="21"/>
              </w:rPr>
            </w:pPr>
          </w:p>
        </w:tc>
        <w:tc>
          <w:tcPr>
            <w:tcW w:w="1701" w:type="dxa"/>
            <w:vMerge w:val="restart"/>
            <w:shd w:val="clear" w:color="auto" w:fill="auto"/>
            <w:tcMar>
              <w:left w:w="108" w:type="dxa"/>
              <w:right w:w="108" w:type="dxa"/>
            </w:tcMar>
            <w:vAlign w:val="center"/>
          </w:tcPr>
          <w:p w14:paraId="3D438B61" w14:textId="77777777" w:rsidR="00812E9B" w:rsidRDefault="00000000">
            <w:pPr>
              <w:widowControl/>
              <w:spacing w:line="600" w:lineRule="exact"/>
              <w:rPr>
                <w:rFonts w:ascii="Times New Roman" w:eastAsia="黑体" w:hAnsi="Times New Roman" w:cs="Times New Roman"/>
                <w:kern w:val="0"/>
                <w:szCs w:val="21"/>
              </w:rPr>
            </w:pPr>
            <w:r>
              <w:rPr>
                <w:rFonts w:ascii="Times New Roman" w:eastAsia="黑体" w:hAnsi="Times New Roman" w:cs="Times New Roman"/>
                <w:kern w:val="0"/>
                <w:szCs w:val="21"/>
              </w:rPr>
              <w:t>（六）其他处理</w:t>
            </w:r>
          </w:p>
        </w:tc>
        <w:tc>
          <w:tcPr>
            <w:tcW w:w="2976" w:type="dxa"/>
            <w:shd w:val="clear" w:color="auto" w:fill="auto"/>
            <w:vAlign w:val="center"/>
          </w:tcPr>
          <w:p w14:paraId="6346CDB2" w14:textId="77777777" w:rsidR="00812E9B" w:rsidRDefault="00000000">
            <w:pPr>
              <w:widowControl/>
              <w:spacing w:line="600" w:lineRule="exact"/>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申请人无正当理由逾期</w:t>
            </w:r>
            <w:proofErr w:type="gramStart"/>
            <w:r>
              <w:rPr>
                <w:rFonts w:ascii="Times New Roman" w:eastAsia="仿宋_GB2312" w:hAnsi="Times New Roman" w:cs="Times New Roman"/>
              </w:rPr>
              <w:t>不</w:t>
            </w:r>
            <w:proofErr w:type="gramEnd"/>
            <w:r>
              <w:rPr>
                <w:rFonts w:ascii="Times New Roman" w:eastAsia="仿宋_GB2312" w:hAnsi="Times New Roman" w:cs="Times New Roman"/>
              </w:rPr>
              <w:t>补正、行政机关</w:t>
            </w:r>
            <w:proofErr w:type="gramStart"/>
            <w:r>
              <w:rPr>
                <w:rFonts w:ascii="Times New Roman" w:eastAsia="仿宋_GB2312" w:hAnsi="Times New Roman" w:cs="Times New Roman"/>
              </w:rPr>
              <w:t>不</w:t>
            </w:r>
            <w:proofErr w:type="gramEnd"/>
            <w:r>
              <w:rPr>
                <w:rFonts w:ascii="Times New Roman" w:eastAsia="仿宋_GB2312" w:hAnsi="Times New Roman" w:cs="Times New Roman"/>
              </w:rPr>
              <w:t>再处理其政府信息公开申请</w:t>
            </w:r>
          </w:p>
        </w:tc>
        <w:tc>
          <w:tcPr>
            <w:tcW w:w="829" w:type="dxa"/>
            <w:shd w:val="clear" w:color="auto" w:fill="auto"/>
            <w:tcMar>
              <w:left w:w="108" w:type="dxa"/>
              <w:right w:w="108" w:type="dxa"/>
            </w:tcMar>
            <w:vAlign w:val="center"/>
          </w:tcPr>
          <w:p w14:paraId="2E4E0E1E"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484</w:t>
            </w:r>
          </w:p>
        </w:tc>
        <w:tc>
          <w:tcPr>
            <w:tcW w:w="567" w:type="dxa"/>
            <w:shd w:val="clear" w:color="auto" w:fill="auto"/>
            <w:tcMar>
              <w:left w:w="108" w:type="dxa"/>
              <w:right w:w="108" w:type="dxa"/>
            </w:tcMar>
            <w:vAlign w:val="center"/>
          </w:tcPr>
          <w:p w14:paraId="03805052"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567" w:type="dxa"/>
            <w:shd w:val="clear" w:color="auto" w:fill="auto"/>
            <w:tcMar>
              <w:left w:w="108" w:type="dxa"/>
              <w:right w:w="108" w:type="dxa"/>
            </w:tcMar>
            <w:vAlign w:val="center"/>
          </w:tcPr>
          <w:p w14:paraId="6C960ED6"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53C418A9"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24F2DB0C"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567" w:type="dxa"/>
            <w:shd w:val="clear" w:color="auto" w:fill="auto"/>
            <w:tcMar>
              <w:left w:w="108" w:type="dxa"/>
              <w:right w:w="108" w:type="dxa"/>
            </w:tcMar>
            <w:vAlign w:val="center"/>
          </w:tcPr>
          <w:p w14:paraId="13CA120F"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851" w:type="dxa"/>
            <w:shd w:val="clear" w:color="auto" w:fill="auto"/>
            <w:tcMar>
              <w:left w:w="108" w:type="dxa"/>
              <w:right w:w="108" w:type="dxa"/>
            </w:tcMar>
            <w:vAlign w:val="center"/>
          </w:tcPr>
          <w:p w14:paraId="4A2393DA"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495</w:t>
            </w:r>
          </w:p>
        </w:tc>
      </w:tr>
      <w:tr w:rsidR="00812E9B" w14:paraId="5E2E549D" w14:textId="77777777">
        <w:trPr>
          <w:jc w:val="center"/>
        </w:trPr>
        <w:tc>
          <w:tcPr>
            <w:tcW w:w="416" w:type="dxa"/>
            <w:vMerge/>
            <w:shd w:val="clear" w:color="auto" w:fill="auto"/>
            <w:tcMar>
              <w:left w:w="108" w:type="dxa"/>
              <w:right w:w="108" w:type="dxa"/>
            </w:tcMar>
            <w:vAlign w:val="center"/>
          </w:tcPr>
          <w:p w14:paraId="64EA2E7F"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0706B248" w14:textId="77777777" w:rsidR="00812E9B" w:rsidRDefault="00812E9B">
            <w:pPr>
              <w:widowControl/>
              <w:spacing w:line="600" w:lineRule="exact"/>
              <w:rPr>
                <w:rFonts w:ascii="Times New Roman" w:eastAsia="黑体" w:hAnsi="Times New Roman" w:cs="Times New Roman"/>
                <w:kern w:val="0"/>
                <w:szCs w:val="21"/>
              </w:rPr>
            </w:pPr>
          </w:p>
        </w:tc>
        <w:tc>
          <w:tcPr>
            <w:tcW w:w="2976" w:type="dxa"/>
            <w:shd w:val="clear" w:color="auto" w:fill="auto"/>
            <w:vAlign w:val="center"/>
          </w:tcPr>
          <w:p w14:paraId="26F2161A"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rPr>
              <w:t>2.</w:t>
            </w:r>
            <w:r>
              <w:rPr>
                <w:rFonts w:ascii="Times New Roman" w:eastAsia="仿宋_GB2312" w:hAnsi="Times New Roman" w:cs="Times New Roman"/>
              </w:rPr>
              <w:t>申请人逾期未按收费通知要求缴纳费用、行政机关</w:t>
            </w:r>
            <w:proofErr w:type="gramStart"/>
            <w:r>
              <w:rPr>
                <w:rFonts w:ascii="Times New Roman" w:eastAsia="仿宋_GB2312" w:hAnsi="Times New Roman" w:cs="Times New Roman"/>
              </w:rPr>
              <w:t>不</w:t>
            </w:r>
            <w:proofErr w:type="gramEnd"/>
            <w:r>
              <w:rPr>
                <w:rFonts w:ascii="Times New Roman" w:eastAsia="仿宋_GB2312" w:hAnsi="Times New Roman" w:cs="Times New Roman"/>
              </w:rPr>
              <w:t>再处理其政府信息公开申请</w:t>
            </w:r>
          </w:p>
        </w:tc>
        <w:tc>
          <w:tcPr>
            <w:tcW w:w="829" w:type="dxa"/>
            <w:shd w:val="clear" w:color="auto" w:fill="auto"/>
            <w:tcMar>
              <w:left w:w="108" w:type="dxa"/>
              <w:right w:w="108" w:type="dxa"/>
            </w:tcMar>
            <w:vAlign w:val="center"/>
          </w:tcPr>
          <w:p w14:paraId="3046A1C9"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150</w:t>
            </w:r>
          </w:p>
        </w:tc>
        <w:tc>
          <w:tcPr>
            <w:tcW w:w="567" w:type="dxa"/>
            <w:shd w:val="clear" w:color="auto" w:fill="auto"/>
            <w:tcMar>
              <w:left w:w="108" w:type="dxa"/>
              <w:right w:w="108" w:type="dxa"/>
            </w:tcMar>
            <w:vAlign w:val="center"/>
          </w:tcPr>
          <w:p w14:paraId="20B97AA8"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06A34252"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4033FB9C"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254875E0"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67DEE2EC"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6CB45BB0"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150</w:t>
            </w:r>
          </w:p>
        </w:tc>
      </w:tr>
      <w:tr w:rsidR="00812E9B" w14:paraId="5FE669E6" w14:textId="77777777">
        <w:trPr>
          <w:jc w:val="center"/>
        </w:trPr>
        <w:tc>
          <w:tcPr>
            <w:tcW w:w="416" w:type="dxa"/>
            <w:vMerge/>
            <w:shd w:val="clear" w:color="auto" w:fill="auto"/>
            <w:tcMar>
              <w:left w:w="108" w:type="dxa"/>
              <w:right w:w="108" w:type="dxa"/>
            </w:tcMar>
            <w:vAlign w:val="center"/>
          </w:tcPr>
          <w:p w14:paraId="3270F79B" w14:textId="77777777" w:rsidR="00812E9B" w:rsidRDefault="00812E9B">
            <w:pPr>
              <w:spacing w:line="600" w:lineRule="exact"/>
              <w:rPr>
                <w:rFonts w:ascii="Times New Roman" w:eastAsia="黑体" w:hAnsi="Times New Roman" w:cs="Times New Roman"/>
                <w:szCs w:val="21"/>
              </w:rPr>
            </w:pPr>
          </w:p>
        </w:tc>
        <w:tc>
          <w:tcPr>
            <w:tcW w:w="1701" w:type="dxa"/>
            <w:vMerge/>
            <w:shd w:val="clear" w:color="auto" w:fill="auto"/>
            <w:tcMar>
              <w:left w:w="108" w:type="dxa"/>
              <w:right w:w="108" w:type="dxa"/>
            </w:tcMar>
            <w:vAlign w:val="center"/>
          </w:tcPr>
          <w:p w14:paraId="32D7D6B7" w14:textId="77777777" w:rsidR="00812E9B" w:rsidRDefault="00812E9B">
            <w:pPr>
              <w:widowControl/>
              <w:spacing w:line="600" w:lineRule="exact"/>
              <w:rPr>
                <w:rFonts w:ascii="Times New Roman" w:eastAsia="黑体" w:hAnsi="Times New Roman" w:cs="Times New Roman"/>
                <w:kern w:val="0"/>
                <w:szCs w:val="21"/>
              </w:rPr>
            </w:pPr>
          </w:p>
        </w:tc>
        <w:tc>
          <w:tcPr>
            <w:tcW w:w="2976" w:type="dxa"/>
            <w:shd w:val="clear" w:color="auto" w:fill="auto"/>
            <w:vAlign w:val="center"/>
          </w:tcPr>
          <w:p w14:paraId="1D55096B" w14:textId="77777777" w:rsidR="00812E9B" w:rsidRDefault="00000000">
            <w:pPr>
              <w:widowControl/>
              <w:spacing w:line="600" w:lineRule="exact"/>
              <w:rPr>
                <w:rFonts w:ascii="Times New Roman" w:eastAsia="仿宋_GB2312" w:hAnsi="Times New Roman" w:cs="Times New Roman"/>
                <w:kern w:val="0"/>
                <w:szCs w:val="21"/>
              </w:rPr>
            </w:pPr>
            <w:r>
              <w:rPr>
                <w:rFonts w:ascii="Times New Roman" w:eastAsia="仿宋_GB2312" w:hAnsi="Times New Roman" w:cs="Times New Roman"/>
              </w:rPr>
              <w:t>3.</w:t>
            </w:r>
            <w:r>
              <w:rPr>
                <w:rFonts w:ascii="Times New Roman" w:eastAsia="仿宋_GB2312" w:hAnsi="Times New Roman" w:cs="Times New Roman"/>
              </w:rPr>
              <w:t>其他</w:t>
            </w:r>
          </w:p>
        </w:tc>
        <w:tc>
          <w:tcPr>
            <w:tcW w:w="829" w:type="dxa"/>
            <w:shd w:val="clear" w:color="auto" w:fill="auto"/>
            <w:tcMar>
              <w:left w:w="108" w:type="dxa"/>
              <w:right w:w="108" w:type="dxa"/>
            </w:tcMar>
            <w:vAlign w:val="center"/>
          </w:tcPr>
          <w:p w14:paraId="625706AA"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1156</w:t>
            </w:r>
          </w:p>
        </w:tc>
        <w:tc>
          <w:tcPr>
            <w:tcW w:w="567" w:type="dxa"/>
            <w:shd w:val="clear" w:color="auto" w:fill="auto"/>
            <w:tcMar>
              <w:left w:w="108" w:type="dxa"/>
              <w:right w:w="108" w:type="dxa"/>
            </w:tcMar>
            <w:vAlign w:val="center"/>
          </w:tcPr>
          <w:p w14:paraId="3FA79BD2"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35</w:t>
            </w:r>
          </w:p>
        </w:tc>
        <w:tc>
          <w:tcPr>
            <w:tcW w:w="567" w:type="dxa"/>
            <w:shd w:val="clear" w:color="auto" w:fill="auto"/>
            <w:tcMar>
              <w:left w:w="108" w:type="dxa"/>
              <w:right w:w="108" w:type="dxa"/>
            </w:tcMar>
            <w:vAlign w:val="center"/>
          </w:tcPr>
          <w:p w14:paraId="1C11AEFE"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6D7308BB"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708" w:type="dxa"/>
            <w:shd w:val="clear" w:color="auto" w:fill="auto"/>
            <w:tcMar>
              <w:left w:w="108" w:type="dxa"/>
              <w:right w:w="108" w:type="dxa"/>
            </w:tcMar>
            <w:vAlign w:val="center"/>
          </w:tcPr>
          <w:p w14:paraId="7122F28E"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14</w:t>
            </w:r>
          </w:p>
        </w:tc>
        <w:tc>
          <w:tcPr>
            <w:tcW w:w="567" w:type="dxa"/>
            <w:shd w:val="clear" w:color="auto" w:fill="auto"/>
            <w:tcMar>
              <w:left w:w="108" w:type="dxa"/>
              <w:right w:w="108" w:type="dxa"/>
            </w:tcMar>
            <w:vAlign w:val="center"/>
          </w:tcPr>
          <w:p w14:paraId="64C01EE8"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851" w:type="dxa"/>
            <w:shd w:val="clear" w:color="auto" w:fill="auto"/>
            <w:tcMar>
              <w:left w:w="108" w:type="dxa"/>
              <w:right w:w="108" w:type="dxa"/>
            </w:tcMar>
            <w:vAlign w:val="center"/>
          </w:tcPr>
          <w:p w14:paraId="396E84B8" w14:textId="77777777" w:rsidR="00812E9B" w:rsidRDefault="00000000">
            <w:pPr>
              <w:widowControl/>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t>1215</w:t>
            </w:r>
          </w:p>
        </w:tc>
      </w:tr>
      <w:tr w:rsidR="00812E9B" w14:paraId="367AD35F" w14:textId="77777777">
        <w:trPr>
          <w:jc w:val="center"/>
        </w:trPr>
        <w:tc>
          <w:tcPr>
            <w:tcW w:w="416" w:type="dxa"/>
            <w:vMerge/>
            <w:shd w:val="clear" w:color="auto" w:fill="auto"/>
            <w:tcMar>
              <w:left w:w="108" w:type="dxa"/>
              <w:right w:w="108" w:type="dxa"/>
            </w:tcMar>
            <w:vAlign w:val="center"/>
          </w:tcPr>
          <w:p w14:paraId="25797B57" w14:textId="77777777" w:rsidR="00812E9B" w:rsidRDefault="00812E9B">
            <w:pPr>
              <w:spacing w:line="600" w:lineRule="exact"/>
              <w:rPr>
                <w:rFonts w:ascii="Times New Roman" w:eastAsia="黑体" w:hAnsi="Times New Roman" w:cs="Times New Roman"/>
                <w:szCs w:val="21"/>
              </w:rPr>
            </w:pPr>
          </w:p>
        </w:tc>
        <w:tc>
          <w:tcPr>
            <w:tcW w:w="4677" w:type="dxa"/>
            <w:gridSpan w:val="2"/>
            <w:shd w:val="clear" w:color="auto" w:fill="auto"/>
            <w:tcMar>
              <w:left w:w="108" w:type="dxa"/>
              <w:right w:w="108" w:type="dxa"/>
            </w:tcMar>
            <w:vAlign w:val="center"/>
          </w:tcPr>
          <w:p w14:paraId="407D89D4" w14:textId="77777777" w:rsidR="00812E9B" w:rsidRDefault="00000000">
            <w:pPr>
              <w:widowControl/>
              <w:spacing w:line="600" w:lineRule="exact"/>
              <w:rPr>
                <w:rFonts w:ascii="Times New Roman" w:eastAsia="黑体" w:hAnsi="Times New Roman" w:cs="Times New Roman"/>
                <w:kern w:val="0"/>
                <w:szCs w:val="21"/>
              </w:rPr>
            </w:pPr>
            <w:r>
              <w:rPr>
                <w:rFonts w:ascii="Times New Roman" w:eastAsia="黑体" w:hAnsi="Times New Roman" w:cs="Times New Roman"/>
                <w:kern w:val="0"/>
                <w:szCs w:val="21"/>
              </w:rPr>
              <w:t>（七）总计</w:t>
            </w:r>
          </w:p>
        </w:tc>
        <w:tc>
          <w:tcPr>
            <w:tcW w:w="829" w:type="dxa"/>
            <w:shd w:val="clear" w:color="auto" w:fill="auto"/>
            <w:tcMar>
              <w:left w:w="108" w:type="dxa"/>
              <w:right w:w="108" w:type="dxa"/>
            </w:tcMar>
            <w:vAlign w:val="center"/>
          </w:tcPr>
          <w:p w14:paraId="2B1D5FF6"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38118</w:t>
            </w:r>
          </w:p>
        </w:tc>
        <w:tc>
          <w:tcPr>
            <w:tcW w:w="567" w:type="dxa"/>
            <w:shd w:val="clear" w:color="auto" w:fill="auto"/>
            <w:tcMar>
              <w:left w:w="108" w:type="dxa"/>
              <w:right w:w="108" w:type="dxa"/>
            </w:tcMar>
            <w:vAlign w:val="center"/>
          </w:tcPr>
          <w:p w14:paraId="20F720F5"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953</w:t>
            </w:r>
          </w:p>
        </w:tc>
        <w:tc>
          <w:tcPr>
            <w:tcW w:w="567" w:type="dxa"/>
            <w:shd w:val="clear" w:color="auto" w:fill="auto"/>
            <w:tcMar>
              <w:left w:w="108" w:type="dxa"/>
              <w:right w:w="108" w:type="dxa"/>
            </w:tcMar>
            <w:vAlign w:val="center"/>
          </w:tcPr>
          <w:p w14:paraId="43B82082"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55</w:t>
            </w:r>
          </w:p>
        </w:tc>
        <w:tc>
          <w:tcPr>
            <w:tcW w:w="731" w:type="dxa"/>
            <w:shd w:val="clear" w:color="auto" w:fill="auto"/>
            <w:tcMar>
              <w:left w:w="108" w:type="dxa"/>
              <w:right w:w="108" w:type="dxa"/>
            </w:tcMar>
            <w:vAlign w:val="center"/>
          </w:tcPr>
          <w:p w14:paraId="09C3FC56"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84</w:t>
            </w:r>
          </w:p>
        </w:tc>
        <w:tc>
          <w:tcPr>
            <w:tcW w:w="708" w:type="dxa"/>
            <w:shd w:val="clear" w:color="auto" w:fill="auto"/>
            <w:tcMar>
              <w:left w:w="108" w:type="dxa"/>
              <w:right w:w="108" w:type="dxa"/>
            </w:tcMar>
            <w:vAlign w:val="center"/>
          </w:tcPr>
          <w:p w14:paraId="3EB4324E"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260</w:t>
            </w:r>
          </w:p>
        </w:tc>
        <w:tc>
          <w:tcPr>
            <w:tcW w:w="567" w:type="dxa"/>
            <w:shd w:val="clear" w:color="auto" w:fill="auto"/>
            <w:tcMar>
              <w:left w:w="108" w:type="dxa"/>
              <w:right w:w="108" w:type="dxa"/>
            </w:tcMar>
            <w:vAlign w:val="center"/>
          </w:tcPr>
          <w:p w14:paraId="21FAA39E"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96</w:t>
            </w:r>
          </w:p>
        </w:tc>
        <w:tc>
          <w:tcPr>
            <w:tcW w:w="851" w:type="dxa"/>
            <w:shd w:val="clear" w:color="auto" w:fill="auto"/>
            <w:tcMar>
              <w:left w:w="108" w:type="dxa"/>
              <w:right w:w="108" w:type="dxa"/>
            </w:tcMar>
            <w:vAlign w:val="center"/>
          </w:tcPr>
          <w:p w14:paraId="2763B09A"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39566</w:t>
            </w:r>
          </w:p>
        </w:tc>
      </w:tr>
      <w:tr w:rsidR="00812E9B" w14:paraId="64E21A33" w14:textId="77777777">
        <w:trPr>
          <w:jc w:val="center"/>
        </w:trPr>
        <w:tc>
          <w:tcPr>
            <w:tcW w:w="5093" w:type="dxa"/>
            <w:gridSpan w:val="3"/>
            <w:shd w:val="clear" w:color="auto" w:fill="auto"/>
            <w:tcMar>
              <w:left w:w="108" w:type="dxa"/>
              <w:right w:w="108" w:type="dxa"/>
            </w:tcMar>
            <w:vAlign w:val="center"/>
          </w:tcPr>
          <w:p w14:paraId="210BABAB" w14:textId="77777777" w:rsidR="00812E9B" w:rsidRDefault="00000000">
            <w:pPr>
              <w:widowControl/>
              <w:spacing w:line="600" w:lineRule="exact"/>
              <w:rPr>
                <w:rFonts w:ascii="Times New Roman" w:eastAsia="黑体" w:hAnsi="Times New Roman" w:cs="Times New Roman"/>
                <w:kern w:val="0"/>
                <w:szCs w:val="21"/>
              </w:rPr>
            </w:pPr>
            <w:r>
              <w:rPr>
                <w:rFonts w:ascii="Times New Roman" w:eastAsia="黑体" w:hAnsi="Times New Roman" w:cs="Times New Roman"/>
                <w:kern w:val="0"/>
                <w:szCs w:val="21"/>
              </w:rPr>
              <w:t>四、结转下年度继续办理</w:t>
            </w:r>
          </w:p>
        </w:tc>
        <w:tc>
          <w:tcPr>
            <w:tcW w:w="829" w:type="dxa"/>
            <w:shd w:val="clear" w:color="auto" w:fill="auto"/>
            <w:tcMar>
              <w:left w:w="108" w:type="dxa"/>
              <w:right w:w="108" w:type="dxa"/>
            </w:tcMar>
            <w:vAlign w:val="center"/>
          </w:tcPr>
          <w:p w14:paraId="57C595E3"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825</w:t>
            </w:r>
          </w:p>
        </w:tc>
        <w:tc>
          <w:tcPr>
            <w:tcW w:w="567" w:type="dxa"/>
            <w:shd w:val="clear" w:color="auto" w:fill="auto"/>
            <w:tcMar>
              <w:left w:w="108" w:type="dxa"/>
              <w:right w:w="108" w:type="dxa"/>
            </w:tcMar>
            <w:vAlign w:val="center"/>
          </w:tcPr>
          <w:p w14:paraId="52140C57"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44</w:t>
            </w:r>
          </w:p>
        </w:tc>
        <w:tc>
          <w:tcPr>
            <w:tcW w:w="567" w:type="dxa"/>
            <w:shd w:val="clear" w:color="auto" w:fill="auto"/>
            <w:tcMar>
              <w:left w:w="108" w:type="dxa"/>
              <w:right w:w="108" w:type="dxa"/>
            </w:tcMar>
            <w:vAlign w:val="center"/>
          </w:tcPr>
          <w:p w14:paraId="662A4E81"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1</w:t>
            </w:r>
          </w:p>
        </w:tc>
        <w:tc>
          <w:tcPr>
            <w:tcW w:w="731" w:type="dxa"/>
            <w:shd w:val="clear" w:color="auto" w:fill="auto"/>
            <w:tcMar>
              <w:left w:w="108" w:type="dxa"/>
              <w:right w:w="108" w:type="dxa"/>
            </w:tcMar>
            <w:vAlign w:val="center"/>
          </w:tcPr>
          <w:p w14:paraId="00129018"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2</w:t>
            </w:r>
          </w:p>
        </w:tc>
        <w:tc>
          <w:tcPr>
            <w:tcW w:w="708" w:type="dxa"/>
            <w:shd w:val="clear" w:color="auto" w:fill="auto"/>
            <w:tcMar>
              <w:left w:w="108" w:type="dxa"/>
              <w:right w:w="108" w:type="dxa"/>
            </w:tcMar>
            <w:vAlign w:val="center"/>
          </w:tcPr>
          <w:p w14:paraId="632EAB67"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3</w:t>
            </w:r>
          </w:p>
        </w:tc>
        <w:tc>
          <w:tcPr>
            <w:tcW w:w="567" w:type="dxa"/>
            <w:shd w:val="clear" w:color="auto" w:fill="auto"/>
            <w:tcMar>
              <w:left w:w="108" w:type="dxa"/>
              <w:right w:w="108" w:type="dxa"/>
            </w:tcMar>
            <w:vAlign w:val="center"/>
          </w:tcPr>
          <w:p w14:paraId="10728196"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0</w:t>
            </w:r>
          </w:p>
        </w:tc>
        <w:tc>
          <w:tcPr>
            <w:tcW w:w="851" w:type="dxa"/>
            <w:shd w:val="clear" w:color="auto" w:fill="auto"/>
            <w:tcMar>
              <w:left w:w="108" w:type="dxa"/>
              <w:right w:w="108" w:type="dxa"/>
            </w:tcMar>
            <w:vAlign w:val="center"/>
          </w:tcPr>
          <w:p w14:paraId="13E21F94" w14:textId="77777777" w:rsidR="00812E9B" w:rsidRDefault="00000000">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875</w:t>
            </w:r>
          </w:p>
        </w:tc>
      </w:tr>
    </w:tbl>
    <w:p w14:paraId="51140186" w14:textId="77777777" w:rsidR="00812E9B" w:rsidRDefault="00647532">
      <w:pPr>
        <w:pStyle w:val="1"/>
        <w:numPr>
          <w:ilvl w:val="0"/>
          <w:numId w:val="1"/>
        </w:numPr>
        <w:spacing w:before="0" w:after="0" w:line="600" w:lineRule="exact"/>
        <w:ind w:left="0" w:firstLineChars="200" w:firstLine="640"/>
        <w:rPr>
          <w:rFonts w:ascii="Times New Roman" w:eastAsia="黑体" w:hAnsi="Times New Roman" w:cs="Times New Roman"/>
          <w:b w:val="0"/>
          <w:bCs w:val="0"/>
          <w:sz w:val="32"/>
          <w:szCs w:val="32"/>
        </w:rPr>
      </w:pPr>
      <w:r>
        <w:rPr>
          <w:rFonts w:ascii="Times New Roman" w:eastAsia="黑体" w:hAnsi="Times New Roman" w:cs="Times New Roman" w:hint="eastAsia"/>
          <w:b w:val="0"/>
          <w:bCs w:val="0"/>
          <w:sz w:val="32"/>
          <w:szCs w:val="32"/>
        </w:rPr>
        <w:t>因</w:t>
      </w:r>
      <w:r>
        <w:rPr>
          <w:rFonts w:ascii="Times New Roman" w:eastAsia="黑体" w:hAnsi="Times New Roman" w:cs="Times New Roman"/>
          <w:b w:val="0"/>
          <w:bCs w:val="0"/>
          <w:sz w:val="32"/>
          <w:szCs w:val="32"/>
        </w:rPr>
        <w:t>政府信息公开</w:t>
      </w:r>
      <w:r>
        <w:rPr>
          <w:rFonts w:ascii="Times New Roman" w:eastAsia="黑体" w:hAnsi="Times New Roman" w:cs="Times New Roman" w:hint="eastAsia"/>
          <w:b w:val="0"/>
          <w:bCs w:val="0"/>
          <w:sz w:val="32"/>
          <w:szCs w:val="32"/>
        </w:rPr>
        <w:t>被申请</w:t>
      </w:r>
      <w:r>
        <w:rPr>
          <w:rFonts w:ascii="Times New Roman" w:eastAsia="黑体" w:hAnsi="Times New Roman" w:cs="Times New Roman"/>
          <w:b w:val="0"/>
          <w:bCs w:val="0"/>
          <w:sz w:val="32"/>
          <w:szCs w:val="32"/>
        </w:rPr>
        <w:t>行政复议、</w:t>
      </w:r>
      <w:r>
        <w:rPr>
          <w:rFonts w:ascii="Times New Roman" w:eastAsia="黑体" w:hAnsi="Times New Roman" w:cs="Times New Roman" w:hint="eastAsia"/>
          <w:b w:val="0"/>
          <w:bCs w:val="0"/>
          <w:sz w:val="32"/>
          <w:szCs w:val="32"/>
        </w:rPr>
        <w:t>提起</w:t>
      </w:r>
      <w:r>
        <w:rPr>
          <w:rFonts w:ascii="Times New Roman" w:eastAsia="黑体" w:hAnsi="Times New Roman" w:cs="Times New Roman"/>
          <w:b w:val="0"/>
          <w:bCs w:val="0"/>
          <w:sz w:val="32"/>
          <w:szCs w:val="32"/>
        </w:rPr>
        <w:t>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12E9B" w14:paraId="78181BDE" w14:textId="77777777">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78B5A35" w14:textId="77777777" w:rsidR="00812E9B" w:rsidRDefault="00000000">
            <w:pPr>
              <w:widowControl/>
              <w:spacing w:line="600" w:lineRule="exact"/>
              <w:jc w:val="center"/>
              <w:rPr>
                <w:rFonts w:ascii="Times New Roman" w:eastAsia="黑体" w:hAnsi="Times New Roman" w:cs="Times New Roman"/>
              </w:rPr>
            </w:pPr>
            <w:r>
              <w:rPr>
                <w:rFonts w:ascii="Times New Roman" w:eastAsia="黑体" w:hAnsi="Times New Roman" w:cs="Times New Roman"/>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81065A5" w14:textId="77777777" w:rsidR="00812E9B" w:rsidRDefault="00000000">
            <w:pPr>
              <w:widowControl/>
              <w:spacing w:line="600" w:lineRule="exact"/>
              <w:jc w:val="center"/>
              <w:rPr>
                <w:rFonts w:ascii="Times New Roman" w:eastAsia="黑体" w:hAnsi="Times New Roman" w:cs="Times New Roman"/>
              </w:rPr>
            </w:pPr>
            <w:r>
              <w:rPr>
                <w:rFonts w:ascii="Times New Roman" w:eastAsia="黑体" w:hAnsi="Times New Roman" w:cs="Times New Roman"/>
                <w:kern w:val="0"/>
                <w:sz w:val="20"/>
                <w:szCs w:val="20"/>
              </w:rPr>
              <w:t>行政诉讼</w:t>
            </w:r>
          </w:p>
        </w:tc>
      </w:tr>
      <w:tr w:rsidR="00812E9B" w14:paraId="1CEC0466" w14:textId="77777777">
        <w:trPr>
          <w:trHeight w:val="547"/>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FF204F0" w14:textId="77777777" w:rsidR="00812E9B" w:rsidRDefault="00000000">
            <w:pPr>
              <w:widowControl/>
              <w:spacing w:line="600" w:lineRule="exact"/>
              <w:ind w:leftChars="-71" w:left="-149" w:rightChars="-81" w:right="-170"/>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结果</w:t>
            </w:r>
          </w:p>
          <w:p w14:paraId="12B45D9B" w14:textId="77777777" w:rsidR="00812E9B" w:rsidRDefault="00000000">
            <w:pPr>
              <w:widowControl/>
              <w:spacing w:line="600" w:lineRule="exact"/>
              <w:ind w:leftChars="-71" w:left="-149" w:rightChars="-81" w:right="-170"/>
              <w:jc w:val="center"/>
              <w:rPr>
                <w:rFonts w:ascii="Times New Roman" w:eastAsia="黑体" w:hAnsi="Times New Roman" w:cs="Times New Roman"/>
              </w:rPr>
            </w:pPr>
            <w:r>
              <w:rPr>
                <w:rFonts w:ascii="Times New Roman" w:eastAsia="黑体" w:hAnsi="Times New Roman" w:cs="Times New Roman"/>
                <w:kern w:val="0"/>
                <w:sz w:val="20"/>
                <w:szCs w:val="20"/>
              </w:rPr>
              <w:t>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14:paraId="2C77C4CC" w14:textId="77777777" w:rsidR="00812E9B" w:rsidRDefault="00000000">
            <w:pPr>
              <w:widowControl/>
              <w:spacing w:line="600" w:lineRule="exact"/>
              <w:ind w:leftChars="-21" w:left="-43" w:rightChars="-63" w:right="-132" w:hanging="1"/>
              <w:jc w:val="center"/>
              <w:rPr>
                <w:rFonts w:ascii="Times New Roman" w:eastAsia="黑体" w:hAnsi="Times New Roman" w:cs="Times New Roman"/>
              </w:rPr>
            </w:pPr>
            <w:r>
              <w:rPr>
                <w:rFonts w:ascii="Times New Roman" w:eastAsia="黑体" w:hAnsi="Times New Roman" w:cs="Times New Roman"/>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9C59683" w14:textId="77777777" w:rsidR="00812E9B" w:rsidRDefault="00000000">
            <w:pPr>
              <w:widowControl/>
              <w:spacing w:line="600" w:lineRule="exact"/>
              <w:ind w:leftChars="-39" w:left="-82" w:rightChars="-46" w:right="-97"/>
              <w:jc w:val="center"/>
              <w:rPr>
                <w:rFonts w:ascii="Times New Roman" w:eastAsia="黑体" w:hAnsi="Times New Roman" w:cs="Times New Roman"/>
              </w:rPr>
            </w:pPr>
            <w:r>
              <w:rPr>
                <w:rFonts w:ascii="Times New Roman" w:eastAsia="黑体" w:hAnsi="Times New Roman" w:cs="Times New Roman"/>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C2BCF3E" w14:textId="77777777" w:rsidR="00812E9B" w:rsidRDefault="00000000">
            <w:pPr>
              <w:widowControl/>
              <w:spacing w:line="600" w:lineRule="exact"/>
              <w:ind w:leftChars="-56" w:left="-118" w:rightChars="-56" w:right="-118"/>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尚未</w:t>
            </w:r>
          </w:p>
          <w:p w14:paraId="37BA6B72" w14:textId="77777777" w:rsidR="00812E9B" w:rsidRDefault="00000000">
            <w:pPr>
              <w:widowControl/>
              <w:spacing w:line="600" w:lineRule="exact"/>
              <w:ind w:leftChars="-56" w:left="-118" w:rightChars="-56" w:right="-118"/>
              <w:jc w:val="center"/>
              <w:rPr>
                <w:rFonts w:ascii="Times New Roman" w:eastAsia="黑体" w:hAnsi="Times New Roman" w:cs="Times New Roman"/>
              </w:rPr>
            </w:pPr>
            <w:r>
              <w:rPr>
                <w:rFonts w:ascii="Times New Roman" w:eastAsia="黑体" w:hAnsi="Times New Roman" w:cs="Times New Roman"/>
                <w:kern w:val="0"/>
                <w:sz w:val="20"/>
                <w:szCs w:val="20"/>
              </w:rPr>
              <w:t>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5B8B9E0" w14:textId="77777777" w:rsidR="00812E9B" w:rsidRDefault="00000000">
            <w:pPr>
              <w:widowControl/>
              <w:spacing w:line="600" w:lineRule="exact"/>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总</w:t>
            </w:r>
          </w:p>
          <w:p w14:paraId="1ABF8877" w14:textId="77777777" w:rsidR="00812E9B" w:rsidRDefault="00000000">
            <w:pPr>
              <w:widowControl/>
              <w:spacing w:line="600" w:lineRule="exact"/>
              <w:jc w:val="center"/>
              <w:rPr>
                <w:rFonts w:ascii="Times New Roman" w:eastAsia="黑体" w:hAnsi="Times New Roman" w:cs="Times New Roman"/>
              </w:rPr>
            </w:pPr>
            <w:r>
              <w:rPr>
                <w:rFonts w:ascii="Times New Roman" w:eastAsia="黑体" w:hAnsi="Times New Roman" w:cs="Times New Roman"/>
                <w:kern w:val="0"/>
                <w:sz w:val="20"/>
                <w:szCs w:val="20"/>
              </w:rPr>
              <w:t>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0E2F8A6" w14:textId="77777777" w:rsidR="00812E9B" w:rsidRDefault="00000000">
            <w:pPr>
              <w:widowControl/>
              <w:spacing w:line="600" w:lineRule="exact"/>
              <w:jc w:val="center"/>
              <w:rPr>
                <w:rFonts w:ascii="Times New Roman" w:eastAsia="黑体" w:hAnsi="Times New Roman" w:cs="Times New Roman"/>
              </w:rPr>
            </w:pPr>
            <w:r>
              <w:rPr>
                <w:rFonts w:ascii="Times New Roman" w:eastAsia="黑体" w:hAnsi="Times New Roman" w:cs="Times New Roman"/>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E69D3B7" w14:textId="77777777" w:rsidR="00812E9B" w:rsidRDefault="00000000">
            <w:pPr>
              <w:widowControl/>
              <w:spacing w:line="600" w:lineRule="exact"/>
              <w:jc w:val="center"/>
              <w:rPr>
                <w:rFonts w:ascii="Times New Roman" w:eastAsia="黑体" w:hAnsi="Times New Roman" w:cs="Times New Roman"/>
              </w:rPr>
            </w:pPr>
            <w:bookmarkStart w:id="9" w:name="_Hlk67039688"/>
            <w:r>
              <w:rPr>
                <w:rFonts w:ascii="Times New Roman" w:eastAsia="黑体" w:hAnsi="Times New Roman" w:cs="Times New Roman"/>
                <w:kern w:val="0"/>
                <w:sz w:val="20"/>
                <w:szCs w:val="20"/>
              </w:rPr>
              <w:t>复议后起诉</w:t>
            </w:r>
            <w:bookmarkEnd w:id="9"/>
          </w:p>
        </w:tc>
      </w:tr>
      <w:tr w:rsidR="00812E9B" w14:paraId="04978122" w14:textId="77777777">
        <w:trPr>
          <w:trHeight w:val="906"/>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5718CA1" w14:textId="77777777" w:rsidR="00812E9B" w:rsidRDefault="00812E9B">
            <w:pPr>
              <w:spacing w:line="600" w:lineRule="exact"/>
              <w:rPr>
                <w:rFonts w:ascii="Times New Roman" w:eastAsia="黑体" w:hAnsi="Times New Roman" w:cs="Times New Roman"/>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14:paraId="102CD296" w14:textId="77777777" w:rsidR="00812E9B" w:rsidRDefault="00812E9B">
            <w:pPr>
              <w:spacing w:line="600" w:lineRule="exact"/>
              <w:rPr>
                <w:rFonts w:ascii="Times New Roman" w:eastAsia="黑体" w:hAnsi="Times New Roman" w:cs="Times New Roman"/>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2976CA8" w14:textId="77777777" w:rsidR="00812E9B" w:rsidRDefault="00812E9B">
            <w:pPr>
              <w:spacing w:line="600" w:lineRule="exact"/>
              <w:rPr>
                <w:rFonts w:ascii="Times New Roman" w:eastAsia="黑体" w:hAnsi="Times New Roman" w:cs="Times New Roman"/>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6302A4C" w14:textId="77777777" w:rsidR="00812E9B" w:rsidRDefault="00812E9B">
            <w:pPr>
              <w:spacing w:line="600" w:lineRule="exact"/>
              <w:rPr>
                <w:rFonts w:ascii="Times New Roman" w:eastAsia="黑体" w:hAnsi="Times New Roman" w:cs="Times New Roman"/>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0D3611B" w14:textId="77777777" w:rsidR="00812E9B" w:rsidRDefault="00812E9B">
            <w:pPr>
              <w:spacing w:line="600" w:lineRule="exact"/>
              <w:rPr>
                <w:rFonts w:ascii="Times New Roman" w:eastAsia="黑体" w:hAnsi="Times New Roman" w:cs="Times New Roman"/>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14:paraId="684104D3" w14:textId="77777777" w:rsidR="00812E9B" w:rsidRDefault="00000000">
            <w:pPr>
              <w:widowControl/>
              <w:spacing w:line="600" w:lineRule="exact"/>
              <w:ind w:leftChars="-50" w:left="-105" w:rightChars="-60" w:right="-126"/>
              <w:jc w:val="center"/>
              <w:rPr>
                <w:rFonts w:ascii="Times New Roman" w:eastAsia="黑体" w:hAnsi="Times New Roman" w:cs="Times New Roman"/>
              </w:rPr>
            </w:pPr>
            <w:r>
              <w:rPr>
                <w:rFonts w:ascii="Times New Roman" w:eastAsia="黑体" w:hAnsi="Times New Roman" w:cs="Times New Roman"/>
                <w:kern w:val="0"/>
                <w:sz w:val="20"/>
                <w:szCs w:val="20"/>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2162FF73" w14:textId="77777777" w:rsidR="00812E9B" w:rsidRDefault="00000000">
            <w:pPr>
              <w:widowControl/>
              <w:spacing w:line="600" w:lineRule="exact"/>
              <w:ind w:leftChars="-41" w:left="-86" w:rightChars="-42" w:right="-88"/>
              <w:jc w:val="center"/>
              <w:rPr>
                <w:rFonts w:ascii="Times New Roman" w:eastAsia="黑体" w:hAnsi="Times New Roman" w:cs="Times New Roman"/>
              </w:rPr>
            </w:pPr>
            <w:r>
              <w:rPr>
                <w:rFonts w:ascii="Times New Roman" w:eastAsia="黑体"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DEEAEB9" w14:textId="77777777" w:rsidR="00812E9B" w:rsidRDefault="00000000">
            <w:pPr>
              <w:widowControl/>
              <w:spacing w:line="600" w:lineRule="exact"/>
              <w:ind w:leftChars="-60" w:left="-126" w:rightChars="-65" w:right="-136"/>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其他</w:t>
            </w:r>
          </w:p>
          <w:p w14:paraId="78B1E823" w14:textId="77777777" w:rsidR="00812E9B" w:rsidRDefault="00000000">
            <w:pPr>
              <w:widowControl/>
              <w:spacing w:line="600" w:lineRule="exact"/>
              <w:ind w:leftChars="-60" w:left="-126" w:rightChars="-65" w:right="-136"/>
              <w:jc w:val="center"/>
              <w:rPr>
                <w:rFonts w:ascii="Times New Roman" w:eastAsia="黑体" w:hAnsi="Times New Roman" w:cs="Times New Roman"/>
              </w:rPr>
            </w:pPr>
            <w:r>
              <w:rPr>
                <w:rFonts w:ascii="Times New Roman" w:eastAsia="黑体" w:hAnsi="Times New Roman" w:cs="Times New Roman"/>
                <w:kern w:val="0"/>
                <w:sz w:val="20"/>
                <w:szCs w:val="20"/>
              </w:rPr>
              <w:t>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C238D82" w14:textId="77777777" w:rsidR="00812E9B" w:rsidRDefault="00000000">
            <w:pPr>
              <w:widowControl/>
              <w:spacing w:line="600" w:lineRule="exact"/>
              <w:ind w:leftChars="-78" w:left="-164" w:rightChars="-73" w:right="-153"/>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尚未</w:t>
            </w:r>
          </w:p>
          <w:p w14:paraId="5AF8ABBC" w14:textId="77777777" w:rsidR="00812E9B" w:rsidRDefault="00000000">
            <w:pPr>
              <w:widowControl/>
              <w:spacing w:line="600" w:lineRule="exact"/>
              <w:ind w:leftChars="-78" w:left="-164" w:rightChars="-73" w:right="-153"/>
              <w:jc w:val="center"/>
              <w:rPr>
                <w:rFonts w:ascii="Times New Roman" w:eastAsia="黑体" w:hAnsi="Times New Roman" w:cs="Times New Roman"/>
              </w:rPr>
            </w:pPr>
            <w:r>
              <w:rPr>
                <w:rFonts w:ascii="Times New Roman" w:eastAsia="黑体" w:hAnsi="Times New Roman" w:cs="Times New Roman"/>
                <w:kern w:val="0"/>
                <w:sz w:val="20"/>
                <w:szCs w:val="20"/>
              </w:rPr>
              <w:t>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0E140A3" w14:textId="77777777" w:rsidR="00812E9B" w:rsidRDefault="00000000">
            <w:pPr>
              <w:widowControl/>
              <w:spacing w:line="600" w:lineRule="exact"/>
              <w:jc w:val="center"/>
              <w:rPr>
                <w:rFonts w:ascii="Times New Roman" w:eastAsia="黑体" w:hAnsi="Times New Roman" w:cs="Times New Roman"/>
              </w:rPr>
            </w:pPr>
            <w:r>
              <w:rPr>
                <w:rFonts w:ascii="Times New Roman" w:eastAsia="黑体" w:hAnsi="Times New Roman" w:cs="Times New Roman"/>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C7971ED" w14:textId="77777777" w:rsidR="00812E9B" w:rsidRDefault="00000000">
            <w:pPr>
              <w:widowControl/>
              <w:spacing w:line="600" w:lineRule="exact"/>
              <w:ind w:leftChars="-47" w:left="-99" w:rightChars="-37" w:right="-78"/>
              <w:jc w:val="center"/>
              <w:rPr>
                <w:rFonts w:ascii="Times New Roman" w:eastAsia="黑体" w:hAnsi="Times New Roman" w:cs="Times New Roman"/>
              </w:rPr>
            </w:pPr>
            <w:r>
              <w:rPr>
                <w:rFonts w:ascii="Times New Roman" w:eastAsia="黑体" w:hAnsi="Times New Roman" w:cs="Times New Roman"/>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A145A3A" w14:textId="77777777" w:rsidR="00812E9B" w:rsidRDefault="00000000">
            <w:pPr>
              <w:widowControl/>
              <w:spacing w:line="600" w:lineRule="exact"/>
              <w:ind w:leftChars="-65" w:left="-136" w:rightChars="-59" w:right="-124"/>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结果</w:t>
            </w:r>
          </w:p>
          <w:p w14:paraId="09D647B4" w14:textId="77777777" w:rsidR="00812E9B" w:rsidRDefault="00000000">
            <w:pPr>
              <w:widowControl/>
              <w:spacing w:line="600" w:lineRule="exact"/>
              <w:ind w:leftChars="-65" w:left="-136" w:rightChars="-59" w:right="-124"/>
              <w:jc w:val="center"/>
              <w:rPr>
                <w:rFonts w:ascii="Times New Roman" w:eastAsia="黑体" w:hAnsi="Times New Roman" w:cs="Times New Roman"/>
              </w:rPr>
            </w:pPr>
            <w:r>
              <w:rPr>
                <w:rFonts w:ascii="Times New Roman" w:eastAsia="黑体" w:hAnsi="Times New Roman" w:cs="Times New Roman"/>
                <w:kern w:val="0"/>
                <w:sz w:val="20"/>
                <w:szCs w:val="20"/>
              </w:rPr>
              <w:t>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C8975B1" w14:textId="77777777" w:rsidR="00812E9B" w:rsidRDefault="00000000">
            <w:pPr>
              <w:widowControl/>
              <w:spacing w:line="600" w:lineRule="exact"/>
              <w:ind w:leftChars="-83" w:left="-173" w:rightChars="-64" w:right="-134" w:hanging="1"/>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其他</w:t>
            </w:r>
          </w:p>
          <w:p w14:paraId="4074F512" w14:textId="77777777" w:rsidR="00812E9B" w:rsidRDefault="00000000">
            <w:pPr>
              <w:widowControl/>
              <w:spacing w:line="600" w:lineRule="exact"/>
              <w:ind w:leftChars="-83" w:left="-173" w:rightChars="-64" w:right="-134" w:hanging="1"/>
              <w:jc w:val="center"/>
              <w:rPr>
                <w:rFonts w:ascii="Times New Roman" w:eastAsia="黑体" w:hAnsi="Times New Roman" w:cs="Times New Roman"/>
              </w:rPr>
            </w:pPr>
            <w:r>
              <w:rPr>
                <w:rFonts w:ascii="Times New Roman" w:eastAsia="黑体" w:hAnsi="Times New Roman" w:cs="Times New Roman"/>
                <w:kern w:val="0"/>
                <w:sz w:val="20"/>
                <w:szCs w:val="20"/>
              </w:rPr>
              <w:t>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1EA916C" w14:textId="77777777" w:rsidR="00812E9B" w:rsidRDefault="00000000">
            <w:pPr>
              <w:widowControl/>
              <w:spacing w:line="600" w:lineRule="exact"/>
              <w:ind w:leftChars="-33" w:left="-67" w:rightChars="-50" w:right="-105" w:hangingChars="1" w:hanging="2"/>
              <w:jc w:val="center"/>
              <w:rPr>
                <w:rFonts w:ascii="Times New Roman" w:eastAsia="黑体" w:hAnsi="Times New Roman" w:cs="Times New Roman"/>
              </w:rPr>
            </w:pPr>
            <w:r>
              <w:rPr>
                <w:rFonts w:ascii="Times New Roman" w:eastAsia="黑体" w:hAnsi="Times New Roman" w:cs="Times New Roman"/>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ED9CCEC" w14:textId="77777777" w:rsidR="00812E9B" w:rsidRDefault="00000000">
            <w:pPr>
              <w:widowControl/>
              <w:spacing w:line="600" w:lineRule="exact"/>
              <w:jc w:val="center"/>
              <w:rPr>
                <w:rFonts w:ascii="Times New Roman" w:eastAsia="黑体" w:hAnsi="Times New Roman" w:cs="Times New Roman"/>
              </w:rPr>
            </w:pPr>
            <w:r>
              <w:rPr>
                <w:rFonts w:ascii="Times New Roman" w:eastAsia="黑体" w:hAnsi="Times New Roman" w:cs="Times New Roman"/>
                <w:kern w:val="0"/>
                <w:sz w:val="20"/>
                <w:szCs w:val="20"/>
              </w:rPr>
              <w:t>总计</w:t>
            </w:r>
          </w:p>
        </w:tc>
      </w:tr>
      <w:tr w:rsidR="00812E9B" w14:paraId="0FA62E4A" w14:textId="77777777">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341B185"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861</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14:paraId="4A440FAF"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179</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14:paraId="301A9AA5"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125</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14:paraId="07AB7F44"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124</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14:paraId="593E0694"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1289</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14:paraId="3B8F426B"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430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01F3D6DF"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48</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0286CDE1"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142</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0894F24E"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72</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55206256"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692</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566964D0" w14:textId="77777777" w:rsidR="00812E9B" w:rsidRDefault="00000000">
            <w:pPr>
              <w:widowControl/>
              <w:spacing w:line="600" w:lineRule="exact"/>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275</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244D5296"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16</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456601DC"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30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14:paraId="756225B1"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39</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14:paraId="514CF029" w14:textId="77777777" w:rsidR="00812E9B" w:rsidRDefault="00000000">
            <w:pPr>
              <w:widowControl/>
              <w:spacing w:line="6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360</w:t>
            </w:r>
          </w:p>
        </w:tc>
      </w:tr>
    </w:tbl>
    <w:p w14:paraId="754A74BE" w14:textId="77777777" w:rsidR="00812E9B" w:rsidRDefault="00000000">
      <w:pPr>
        <w:pStyle w:val="1"/>
        <w:numPr>
          <w:ilvl w:val="0"/>
          <w:numId w:val="1"/>
        </w:numPr>
        <w:spacing w:before="0" w:after="0" w:line="600" w:lineRule="exact"/>
        <w:ind w:left="0" w:firstLineChars="200" w:firstLine="640"/>
        <w:rPr>
          <w:rFonts w:ascii="Times New Roman" w:eastAsia="黑体" w:hAnsi="Times New Roman" w:cs="Times New Roman"/>
          <w:b w:val="0"/>
          <w:bCs w:val="0"/>
          <w:sz w:val="32"/>
          <w:szCs w:val="32"/>
        </w:rPr>
      </w:pPr>
      <w:r>
        <w:rPr>
          <w:rFonts w:ascii="Times New Roman" w:eastAsia="黑体" w:hAnsi="Times New Roman" w:cs="Times New Roman"/>
          <w:b w:val="0"/>
          <w:bCs w:val="0"/>
          <w:sz w:val="32"/>
          <w:szCs w:val="32"/>
        </w:rPr>
        <w:t>存在的主要问题及改进情况</w:t>
      </w:r>
    </w:p>
    <w:p w14:paraId="446D8F24" w14:textId="77777777" w:rsidR="00812E9B" w:rsidRDefault="00000000">
      <w:pPr>
        <w:spacing w:line="600" w:lineRule="exact"/>
        <w:ind w:firstLineChars="200" w:firstLine="643"/>
        <w:outlineLvl w:val="1"/>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（一）存在的主要问题</w:t>
      </w:r>
    </w:p>
    <w:p w14:paraId="3A192422" w14:textId="77777777" w:rsidR="00812E9B" w:rsidRDefault="00000000">
      <w:pPr>
        <w:spacing w:line="60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b/>
          <w:bCs/>
          <w:sz w:val="32"/>
          <w:szCs w:val="32"/>
          <w:shd w:val="clear" w:color="auto" w:fill="FFFFFF"/>
        </w:rPr>
        <w:t>一是部分法定主动公开要求落实不到位。</w:t>
      </w:r>
      <w:r>
        <w:rPr>
          <w:rFonts w:ascii="Times New Roman" w:eastAsia="仿宋_GB2312" w:hAnsi="Times New Roman" w:cs="Times New Roman"/>
          <w:sz w:val="32"/>
          <w:szCs w:val="32"/>
          <w:shd w:val="clear" w:color="auto" w:fill="FFFFFF"/>
        </w:rPr>
        <w:t>规章、行政规范性文件公开后的管理维护流程有待进一步优化，特别是文件有效性的标注与更新；处罚强制事项、行政事业性收费目录等基础信息公开内容不完整或要素缺失。</w:t>
      </w:r>
      <w:r>
        <w:rPr>
          <w:rFonts w:ascii="Times New Roman" w:eastAsia="仿宋_GB2312" w:hAnsi="Times New Roman" w:cs="Times New Roman"/>
          <w:b/>
          <w:bCs/>
          <w:sz w:val="32"/>
          <w:szCs w:val="32"/>
          <w:shd w:val="clear" w:color="auto" w:fill="FFFFFF"/>
        </w:rPr>
        <w:t>二是政策解读精准度、精细化水平不够。</w:t>
      </w:r>
      <w:r>
        <w:rPr>
          <w:rFonts w:ascii="Times New Roman" w:eastAsia="仿宋_GB2312" w:hAnsi="Times New Roman" w:cs="Times New Roman"/>
          <w:sz w:val="32"/>
          <w:szCs w:val="32"/>
          <w:shd w:val="clear" w:color="auto" w:fill="FFFFFF"/>
        </w:rPr>
        <w:t>有些政策解读材料不符合群众的语言习惯，不能够灵活运用群众看得懂、听得见、能感受的语言或表达方式解读政策；部分单位政策解读方式较为单一，未能够运用生活化、社会化、通俗化的方式解读政策，解读效果不佳。</w:t>
      </w:r>
      <w:r>
        <w:rPr>
          <w:rFonts w:ascii="Times New Roman" w:eastAsia="仿宋_GB2312" w:hAnsi="Times New Roman" w:cs="Times New Roman"/>
          <w:b/>
          <w:bCs/>
          <w:sz w:val="32"/>
          <w:szCs w:val="32"/>
          <w:shd w:val="clear" w:color="auto" w:fill="FFFFFF"/>
        </w:rPr>
        <w:t>三是公共企事业单位信息</w:t>
      </w:r>
      <w:r>
        <w:rPr>
          <w:rFonts w:ascii="Times New Roman" w:eastAsia="仿宋_GB2312" w:hAnsi="Times New Roman" w:cs="Times New Roman"/>
          <w:b/>
          <w:bCs/>
          <w:sz w:val="32"/>
          <w:szCs w:val="32"/>
          <w:shd w:val="clear" w:color="auto" w:fill="FFFFFF"/>
        </w:rPr>
        <w:lastRenderedPageBreak/>
        <w:t>公开仍需深入推进。</w:t>
      </w:r>
      <w:r>
        <w:rPr>
          <w:rFonts w:ascii="Times New Roman" w:eastAsia="仿宋_GB2312" w:hAnsi="Times New Roman" w:cs="Times New Roman"/>
          <w:sz w:val="32"/>
          <w:szCs w:val="32"/>
          <w:shd w:val="clear" w:color="auto" w:fill="FFFFFF"/>
        </w:rPr>
        <w:t>截至</w:t>
      </w:r>
      <w:r>
        <w:rPr>
          <w:rFonts w:ascii="Times New Roman" w:eastAsia="仿宋_GB2312" w:hAnsi="Times New Roman" w:cs="Times New Roman"/>
          <w:sz w:val="32"/>
          <w:szCs w:val="32"/>
          <w:shd w:val="clear" w:color="auto" w:fill="FFFFFF"/>
        </w:rPr>
        <w:t>2022</w:t>
      </w:r>
      <w:r>
        <w:rPr>
          <w:rFonts w:ascii="Times New Roman" w:eastAsia="仿宋_GB2312" w:hAnsi="Times New Roman" w:cs="Times New Roman"/>
          <w:sz w:val="32"/>
          <w:szCs w:val="32"/>
          <w:shd w:val="clear" w:color="auto" w:fill="FFFFFF"/>
        </w:rPr>
        <w:t>年底，各市、县政府已初步完成了公共企事业单位信息公开平台的搭建，各领域适用主体范围基本明确，但仍然存在行业指导监督不足、工作进展不均衡、公开内容不规范等问题。</w:t>
      </w:r>
    </w:p>
    <w:p w14:paraId="718BEDD6" w14:textId="77777777" w:rsidR="00812E9B" w:rsidRDefault="00000000">
      <w:pPr>
        <w:spacing w:line="600" w:lineRule="exact"/>
        <w:ind w:firstLineChars="200" w:firstLine="643"/>
        <w:outlineLvl w:val="1"/>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（二）改进情况</w:t>
      </w:r>
    </w:p>
    <w:p w14:paraId="20302181" w14:textId="77777777" w:rsidR="00812E9B" w:rsidRDefault="00000000">
      <w:pPr>
        <w:spacing w:line="600" w:lineRule="exact"/>
        <w:ind w:firstLineChars="200" w:firstLine="643"/>
        <w:rPr>
          <w:rFonts w:ascii="Times New Roman" w:eastAsia="仿宋_GB2312" w:hAnsi="Times New Roman" w:cs="Times New Roman"/>
          <w:sz w:val="36"/>
          <w:szCs w:val="40"/>
        </w:rPr>
      </w:pPr>
      <w:r>
        <w:rPr>
          <w:rFonts w:ascii="Times New Roman" w:eastAsia="仿宋_GB2312" w:hAnsi="Times New Roman" w:cs="Times New Roman"/>
          <w:b/>
          <w:bCs/>
          <w:sz w:val="32"/>
          <w:szCs w:val="32"/>
          <w:shd w:val="clear" w:color="auto" w:fill="FFFFFF"/>
        </w:rPr>
        <w:t>一是高标准落实主动公开要求。</w:t>
      </w:r>
      <w:r>
        <w:rPr>
          <w:rFonts w:ascii="Times New Roman" w:eastAsia="仿宋_GB2312" w:hAnsi="Times New Roman" w:cs="Times New Roman"/>
          <w:sz w:val="32"/>
          <w:szCs w:val="32"/>
        </w:rPr>
        <w:t>坚持以人民为中心，深入贯彻落实党中央、国务院和省委、省政府有关政务公开工作的系列部署，以公众需求为导向，高标准落实主动公开要求。持续推进主动公开基本目录体系建设和基层政务公开标准化规范化工作，以公众和企业需求为导向，</w:t>
      </w:r>
      <w:r>
        <w:rPr>
          <w:rFonts w:ascii="Times New Roman" w:eastAsia="仿宋_GB2312" w:hAnsi="Times New Roman" w:cs="Times New Roman" w:hint="eastAsia"/>
          <w:sz w:val="32"/>
          <w:szCs w:val="32"/>
        </w:rPr>
        <w:t>尽力</w:t>
      </w:r>
      <w:r>
        <w:rPr>
          <w:rFonts w:ascii="Times New Roman" w:eastAsia="仿宋_GB2312" w:hAnsi="Times New Roman" w:cs="Times New Roman"/>
          <w:sz w:val="32"/>
          <w:szCs w:val="32"/>
        </w:rPr>
        <w:t>满足大数据时代公众日益多样化、个性化的信息需求。加强规章、行政规范性文件、政策性文件等重要政府信息管理，进一步提升政府文件库数据质量。</w:t>
      </w:r>
      <w:r>
        <w:rPr>
          <w:rFonts w:ascii="Times New Roman" w:eastAsia="仿宋_GB2312" w:hAnsi="Times New Roman" w:cs="Times New Roman"/>
          <w:b/>
          <w:bCs/>
          <w:sz w:val="32"/>
          <w:szCs w:val="32"/>
          <w:shd w:val="clear" w:color="auto" w:fill="FFFFFF"/>
        </w:rPr>
        <w:t>二是做深做实政策解读工作。</w:t>
      </w:r>
      <w:r>
        <w:rPr>
          <w:rFonts w:ascii="Times New Roman" w:eastAsia="仿宋_GB2312" w:hAnsi="Times New Roman" w:cs="Times New Roman"/>
          <w:sz w:val="32"/>
          <w:szCs w:val="32"/>
        </w:rPr>
        <w:t>培养专业政策解读队伍，结合群众语言习惯和信息获取方式开展实质性解读，重点解读与群众生产生活密切相关的具体条款和事项。突出核心概念、新旧政策差异、影响范围、管理执行标准及注意事项，</w:t>
      </w:r>
      <w:r>
        <w:rPr>
          <w:rFonts w:ascii="Times New Roman" w:eastAsia="仿宋_GB2312" w:hAnsi="Times New Roman" w:cs="Times New Roman" w:hint="eastAsia"/>
          <w:sz w:val="32"/>
          <w:szCs w:val="32"/>
        </w:rPr>
        <w:t>杜绝</w:t>
      </w:r>
      <w:r>
        <w:rPr>
          <w:rFonts w:ascii="Times New Roman" w:eastAsia="仿宋_GB2312" w:hAnsi="Times New Roman" w:cs="Times New Roman"/>
          <w:sz w:val="32"/>
          <w:szCs w:val="32"/>
        </w:rPr>
        <w:t>应试现象和形式主义。同时，</w:t>
      </w:r>
      <w:r>
        <w:rPr>
          <w:rFonts w:ascii="Times New Roman" w:eastAsia="仿宋_GB2312" w:hAnsi="Times New Roman" w:cs="Times New Roman" w:hint="eastAsia"/>
          <w:sz w:val="32"/>
          <w:szCs w:val="32"/>
        </w:rPr>
        <w:t>推动全省</w:t>
      </w:r>
      <w:r>
        <w:rPr>
          <w:rFonts w:ascii="Times New Roman" w:eastAsia="仿宋_GB2312" w:hAnsi="Times New Roman" w:cs="Times New Roman"/>
          <w:sz w:val="32"/>
          <w:szCs w:val="32"/>
        </w:rPr>
        <w:t>各级政府在门户网站建立智能化政策问答平台，围绕高频政策咨询事项组建知识库，及时主动回应关切。</w:t>
      </w:r>
      <w:r>
        <w:rPr>
          <w:rFonts w:ascii="Times New Roman" w:eastAsia="仿宋_GB2312" w:hAnsi="Times New Roman" w:cs="Times New Roman"/>
          <w:b/>
          <w:bCs/>
          <w:sz w:val="32"/>
          <w:szCs w:val="32"/>
          <w:shd w:val="clear" w:color="auto" w:fill="FFFFFF"/>
        </w:rPr>
        <w:t>三是持续推进公共企事业单位信息公开工作。</w:t>
      </w:r>
      <w:r>
        <w:rPr>
          <w:rFonts w:ascii="Times New Roman" w:eastAsia="仿宋_GB2312" w:hAnsi="Times New Roman" w:cs="Times New Roman" w:hint="eastAsia"/>
          <w:sz w:val="32"/>
          <w:szCs w:val="32"/>
        </w:rPr>
        <w:t>推动</w:t>
      </w:r>
      <w:r>
        <w:rPr>
          <w:rFonts w:ascii="Times New Roman" w:eastAsia="仿宋_GB2312" w:hAnsi="Times New Roman" w:cs="Times New Roman"/>
          <w:sz w:val="32"/>
          <w:szCs w:val="32"/>
        </w:rPr>
        <w:t>省级各主管部门加强纵向指导，统一信息公开目录，增强目录和工作流程的指导性、实操性。</w:t>
      </w:r>
      <w:r>
        <w:rPr>
          <w:rFonts w:ascii="Times New Roman" w:eastAsia="仿宋_GB2312" w:hAnsi="Times New Roman" w:cs="Times New Roman" w:hint="eastAsia"/>
          <w:sz w:val="32"/>
          <w:szCs w:val="32"/>
        </w:rPr>
        <w:t>推动全省</w:t>
      </w:r>
      <w:r>
        <w:rPr>
          <w:rFonts w:ascii="Times New Roman" w:eastAsia="仿宋_GB2312" w:hAnsi="Times New Roman" w:cs="Times New Roman"/>
          <w:sz w:val="32"/>
          <w:szCs w:val="32"/>
        </w:rPr>
        <w:t>各级政府强化属地管理，加大调度督导力度，定期对行业主管部门开展公共企事业单位信息公开专项考核评议，特别是对以汇总链接形式在平台进行集中展示的企事业单位，重点加强</w:t>
      </w:r>
      <w:r>
        <w:rPr>
          <w:rFonts w:ascii="Times New Roman" w:eastAsia="仿宋_GB2312" w:hAnsi="Times New Roman" w:cs="Times New Roman"/>
          <w:sz w:val="32"/>
          <w:szCs w:val="32"/>
        </w:rPr>
        <w:lastRenderedPageBreak/>
        <w:t>对其网站栏目设置的监督指导，确保栏目清晰、要素齐全。同时，为更好适应群众获取信息习惯和现实条件，着力加强现场解答、电话解答等咨询渠道建设，优化咨询服务，实时回应关切，满足服务对象以及社会公众的个性化信息需求。</w:t>
      </w:r>
    </w:p>
    <w:p w14:paraId="718227F4" w14:textId="77777777" w:rsidR="00812E9B" w:rsidRDefault="00000000">
      <w:pPr>
        <w:pStyle w:val="1"/>
        <w:numPr>
          <w:ilvl w:val="0"/>
          <w:numId w:val="1"/>
        </w:numPr>
        <w:spacing w:before="0" w:after="0" w:line="600" w:lineRule="exact"/>
        <w:ind w:left="0" w:firstLineChars="200" w:firstLine="640"/>
        <w:rPr>
          <w:rFonts w:ascii="Times New Roman" w:eastAsia="黑体" w:hAnsi="Times New Roman" w:cs="Times New Roman"/>
          <w:b w:val="0"/>
          <w:bCs w:val="0"/>
          <w:sz w:val="32"/>
          <w:szCs w:val="32"/>
        </w:rPr>
      </w:pPr>
      <w:r>
        <w:rPr>
          <w:rFonts w:ascii="Times New Roman" w:eastAsia="黑体" w:hAnsi="Times New Roman" w:cs="Times New Roman"/>
          <w:b w:val="0"/>
          <w:bCs w:val="0"/>
          <w:sz w:val="32"/>
          <w:szCs w:val="32"/>
        </w:rPr>
        <w:t>其他需要报告的事项</w:t>
      </w:r>
    </w:p>
    <w:p w14:paraId="2943B088" w14:textId="77777777" w:rsidR="00812E9B" w:rsidRDefault="00000000">
      <w:pPr>
        <w:pStyle w:val="2"/>
        <w:numPr>
          <w:ilvl w:val="0"/>
          <w:numId w:val="3"/>
        </w:numPr>
        <w:spacing w:before="0" w:after="0" w:line="600" w:lineRule="exact"/>
        <w:ind w:left="0" w:firstLineChars="200" w:firstLine="643"/>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政府信息公开信息处理费收取情况</w:t>
      </w:r>
    </w:p>
    <w:p w14:paraId="24D812AC"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根据《国务院办公厅关于印发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政府信息公开信息处理费管理办法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的通知》（国办函〔</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109</w:t>
      </w:r>
      <w:r>
        <w:rPr>
          <w:rFonts w:ascii="Times New Roman" w:eastAsia="仿宋_GB2312" w:hAnsi="Times New Roman" w:cs="Times New Roman"/>
          <w:sz w:val="32"/>
          <w:szCs w:val="32"/>
        </w:rPr>
        <w:t>号）和《山东省人民政府办公厅关于做好政府信息公开信息处理费管理工作有关事项的通知》（鲁政办字〔</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179</w:t>
      </w:r>
      <w:r>
        <w:rPr>
          <w:rFonts w:ascii="Times New Roman" w:eastAsia="仿宋_GB2312" w:hAnsi="Times New Roman" w:cs="Times New Roman"/>
          <w:sz w:val="32"/>
          <w:szCs w:val="32"/>
        </w:rPr>
        <w:t>号）规定，本年度全省各级政府和县级以上政府部门共收取信息处理费</w:t>
      </w:r>
      <w:r>
        <w:rPr>
          <w:rFonts w:ascii="Times New Roman" w:eastAsia="仿宋_GB2312" w:hAnsi="Times New Roman" w:cs="Times New Roman"/>
          <w:sz w:val="32"/>
          <w:szCs w:val="32"/>
        </w:rPr>
        <w:t>3360</w:t>
      </w:r>
      <w:r>
        <w:rPr>
          <w:rFonts w:ascii="Times New Roman" w:eastAsia="仿宋_GB2312" w:hAnsi="Times New Roman" w:cs="Times New Roman"/>
          <w:sz w:val="32"/>
          <w:szCs w:val="32"/>
        </w:rPr>
        <w:t>元。</w:t>
      </w:r>
    </w:p>
    <w:p w14:paraId="10510BFB" w14:textId="77777777" w:rsidR="00812E9B" w:rsidRDefault="00000000">
      <w:pPr>
        <w:pStyle w:val="2"/>
        <w:numPr>
          <w:ilvl w:val="0"/>
          <w:numId w:val="3"/>
        </w:numPr>
        <w:spacing w:before="0" w:after="0" w:line="600" w:lineRule="exact"/>
        <w:ind w:left="0" w:firstLineChars="200" w:firstLine="643"/>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落实年度政务公开工作要点情况</w:t>
      </w:r>
    </w:p>
    <w:p w14:paraId="10455834" w14:textId="77777777" w:rsidR="00812E9B" w:rsidRDefault="00000000">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年政务公开工作要点》（国办发〔</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Times New Roman"/>
          <w:kern w:val="0"/>
          <w:sz w:val="32"/>
          <w:szCs w:val="32"/>
        </w:rPr>
        <w:t>号）印发后，聚焦</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六稳</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六保</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、优化营商环境、疫情防控等重点工作，在征求</w:t>
      </w:r>
      <w:r>
        <w:rPr>
          <w:rFonts w:ascii="Times New Roman" w:eastAsia="仿宋_GB2312" w:hAnsi="Times New Roman" w:cs="Times New Roman"/>
          <w:kern w:val="0"/>
          <w:sz w:val="32"/>
          <w:szCs w:val="32"/>
        </w:rPr>
        <w:t>44</w:t>
      </w:r>
      <w:r>
        <w:rPr>
          <w:rFonts w:ascii="Times New Roman" w:eastAsia="仿宋_GB2312" w:hAnsi="Times New Roman" w:cs="Times New Roman"/>
          <w:kern w:val="0"/>
          <w:sz w:val="32"/>
          <w:szCs w:val="32"/>
        </w:rPr>
        <w:t>个省直部门、单位和</w:t>
      </w:r>
      <w:r>
        <w:rPr>
          <w:rFonts w:ascii="Times New Roman" w:eastAsia="仿宋_GB2312" w:hAnsi="Times New Roman" w:cs="Times New Roman"/>
          <w:kern w:val="0"/>
          <w:sz w:val="32"/>
          <w:szCs w:val="32"/>
        </w:rPr>
        <w:t>16</w:t>
      </w:r>
      <w:r>
        <w:rPr>
          <w:rFonts w:ascii="Times New Roman" w:eastAsia="仿宋_GB2312" w:hAnsi="Times New Roman" w:cs="Times New Roman"/>
          <w:kern w:val="0"/>
          <w:sz w:val="32"/>
          <w:szCs w:val="32"/>
        </w:rPr>
        <w:t>市意见基础上，省政府办公厅起草印发了《</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年山东省政务公开工作要点》（鲁政办发〔</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号），并对</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年国家和我省政务公开工作要点进行了任务分解，</w:t>
      </w:r>
      <w:r>
        <w:rPr>
          <w:rFonts w:ascii="Times New Roman" w:eastAsia="仿宋_GB2312" w:hAnsi="Times New Roman" w:cs="Times New Roman" w:hint="eastAsia"/>
          <w:kern w:val="0"/>
          <w:sz w:val="32"/>
          <w:szCs w:val="32"/>
        </w:rPr>
        <w:t>向</w:t>
      </w:r>
      <w:r>
        <w:rPr>
          <w:rFonts w:ascii="Times New Roman" w:eastAsia="仿宋_GB2312" w:hAnsi="Times New Roman" w:cs="Times New Roman"/>
          <w:kern w:val="0"/>
          <w:sz w:val="32"/>
          <w:szCs w:val="32"/>
        </w:rPr>
        <w:t>各级各部门</w:t>
      </w:r>
      <w:r>
        <w:rPr>
          <w:rFonts w:ascii="Times New Roman" w:eastAsia="仿宋_GB2312" w:hAnsi="Times New Roman" w:cs="Times New Roman" w:hint="eastAsia"/>
          <w:kern w:val="0"/>
          <w:sz w:val="32"/>
          <w:szCs w:val="32"/>
        </w:rPr>
        <w:t>下发</w:t>
      </w:r>
      <w:r>
        <w:rPr>
          <w:rFonts w:ascii="Times New Roman" w:eastAsia="仿宋_GB2312" w:hAnsi="Times New Roman" w:cs="Times New Roman"/>
          <w:kern w:val="0"/>
          <w:sz w:val="32"/>
          <w:szCs w:val="32"/>
        </w:rPr>
        <w:t>任务清单，明确了完成标准和完成时限。</w:t>
      </w:r>
    </w:p>
    <w:p w14:paraId="4F558953" w14:textId="77777777" w:rsidR="00812E9B" w:rsidRDefault="00000000">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全省各级各部门认真执行新修订的《中华人民共和国政府信息公开条例》，完善依申请公开工作登记管理、协助调查、会商、归档等各个环节的程序、标准和责任划分，加强部门会商协作，依法依规及时准确予以答复反馈。</w:t>
      </w:r>
    </w:p>
    <w:p w14:paraId="1F82051A" w14:textId="77777777" w:rsidR="00812E9B" w:rsidRDefault="00000000">
      <w:pPr>
        <w:spacing w:line="60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lastRenderedPageBreak/>
        <w:t>（</w:t>
      </w:r>
      <w:r>
        <w:rPr>
          <w:rFonts w:ascii="Times New Roman" w:eastAsia="仿宋_GB2312" w:hAnsi="Times New Roman" w:cs="Times New Roman"/>
          <w:b/>
          <w:bCs/>
          <w:kern w:val="0"/>
          <w:sz w:val="32"/>
          <w:szCs w:val="32"/>
        </w:rPr>
        <w:t>1</w:t>
      </w:r>
      <w:r>
        <w:rPr>
          <w:rFonts w:ascii="Times New Roman" w:eastAsia="仿宋_GB2312" w:hAnsi="Times New Roman" w:cs="Times New Roman"/>
          <w:b/>
          <w:bCs/>
          <w:kern w:val="0"/>
          <w:sz w:val="32"/>
          <w:szCs w:val="32"/>
        </w:rPr>
        <w:t>）收到和处理政府信息公开申请情况。</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年，全省各级政府和县级以上政府部门共收到政府信息公开申请</w:t>
      </w:r>
      <w:r>
        <w:rPr>
          <w:rFonts w:ascii="Times New Roman" w:eastAsia="仿宋_GB2312" w:hAnsi="Times New Roman" w:cs="Times New Roman"/>
          <w:kern w:val="0"/>
          <w:sz w:val="32"/>
          <w:szCs w:val="32"/>
        </w:rPr>
        <w:t>39620</w:t>
      </w:r>
      <w:r>
        <w:rPr>
          <w:rFonts w:ascii="Times New Roman" w:eastAsia="仿宋_GB2312" w:hAnsi="Times New Roman" w:cs="Times New Roman"/>
          <w:kern w:val="0"/>
          <w:sz w:val="32"/>
          <w:szCs w:val="32"/>
        </w:rPr>
        <w:t>件，同比增长</w:t>
      </w:r>
      <w:r>
        <w:rPr>
          <w:rFonts w:ascii="Times New Roman" w:eastAsia="仿宋_GB2312" w:hAnsi="Times New Roman" w:cs="Times New Roman"/>
          <w:kern w:val="0"/>
          <w:sz w:val="32"/>
          <w:szCs w:val="32"/>
        </w:rPr>
        <w:t>9.7%</w:t>
      </w:r>
      <w:r>
        <w:rPr>
          <w:rFonts w:ascii="Times New Roman" w:eastAsia="仿宋_GB2312" w:hAnsi="Times New Roman" w:cs="Times New Roman"/>
          <w:kern w:val="0"/>
          <w:sz w:val="32"/>
          <w:szCs w:val="32"/>
        </w:rPr>
        <w:t>。</w:t>
      </w:r>
    </w:p>
    <w:p w14:paraId="5A0A8904" w14:textId="77777777" w:rsidR="00812E9B" w:rsidRDefault="00000000">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shd w:val="clear" w:color="auto" w:fill="FFFFFF"/>
        </w:rPr>
        <w:t>（</w:t>
      </w:r>
      <w:r>
        <w:rPr>
          <w:rFonts w:ascii="Times New Roman" w:eastAsia="仿宋_GB2312" w:hAnsi="Times New Roman" w:cs="Times New Roman"/>
          <w:b/>
          <w:bCs/>
          <w:sz w:val="32"/>
          <w:szCs w:val="32"/>
          <w:shd w:val="clear" w:color="auto" w:fill="FFFFFF"/>
        </w:rPr>
        <w:t>2</w:t>
      </w:r>
      <w:r>
        <w:rPr>
          <w:rFonts w:ascii="Times New Roman" w:eastAsia="仿宋_GB2312" w:hAnsi="Times New Roman" w:cs="Times New Roman"/>
          <w:b/>
          <w:bCs/>
          <w:sz w:val="32"/>
          <w:szCs w:val="32"/>
          <w:shd w:val="clear" w:color="auto" w:fill="FFFFFF"/>
        </w:rPr>
        <w:t>）申请内容情况。</w:t>
      </w:r>
      <w:r>
        <w:rPr>
          <w:rFonts w:ascii="Times New Roman" w:eastAsia="仿宋_GB2312" w:hAnsi="Times New Roman" w:cs="Times New Roman"/>
          <w:sz w:val="32"/>
          <w:szCs w:val="32"/>
        </w:rPr>
        <w:t>政府信息公开申请的内容主要涉及征地补偿、房屋拆迁、棚户区改造、军人安置、信访举报等方面。</w:t>
      </w:r>
    </w:p>
    <w:p w14:paraId="61373EBC" w14:textId="77777777" w:rsidR="00812E9B" w:rsidRDefault="00000000">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shd w:val="clear" w:color="auto" w:fill="FFFFFF"/>
        </w:rPr>
        <w:t>（</w:t>
      </w:r>
      <w:r>
        <w:rPr>
          <w:rFonts w:ascii="Times New Roman" w:eastAsia="仿宋_GB2312" w:hAnsi="Times New Roman" w:cs="Times New Roman"/>
          <w:b/>
          <w:bCs/>
          <w:sz w:val="32"/>
          <w:szCs w:val="32"/>
          <w:shd w:val="clear" w:color="auto" w:fill="FFFFFF"/>
        </w:rPr>
        <w:t>3</w:t>
      </w:r>
      <w:r>
        <w:rPr>
          <w:rFonts w:ascii="Times New Roman" w:eastAsia="仿宋_GB2312" w:hAnsi="Times New Roman" w:cs="Times New Roman"/>
          <w:b/>
          <w:bCs/>
          <w:sz w:val="32"/>
          <w:szCs w:val="32"/>
          <w:shd w:val="clear" w:color="auto" w:fill="FFFFFF"/>
        </w:rPr>
        <w:t>）申请处理情况。</w:t>
      </w:r>
      <w:r>
        <w:rPr>
          <w:rFonts w:ascii="Times New Roman" w:eastAsia="仿宋_GB2312" w:hAnsi="Times New Roman" w:cs="Times New Roman"/>
          <w:sz w:val="32"/>
          <w:szCs w:val="32"/>
        </w:rPr>
        <w:t>本年度，全省各级政府和县级以上政府部门答复政府信息公开申请</w:t>
      </w:r>
      <w:r>
        <w:rPr>
          <w:rFonts w:ascii="Times New Roman" w:eastAsia="仿宋_GB2312" w:hAnsi="Times New Roman" w:cs="Times New Roman"/>
          <w:sz w:val="32"/>
          <w:szCs w:val="32"/>
        </w:rPr>
        <w:t>39566</w:t>
      </w:r>
      <w:r>
        <w:rPr>
          <w:rFonts w:ascii="Times New Roman" w:eastAsia="仿宋_GB2312" w:hAnsi="Times New Roman" w:cs="Times New Roman"/>
          <w:sz w:val="32"/>
          <w:szCs w:val="32"/>
        </w:rPr>
        <w:t>件。在答复的申请中：</w:t>
      </w:r>
    </w:p>
    <w:p w14:paraId="1F6E9BCC"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予以公开</w:t>
      </w:r>
      <w:r>
        <w:rPr>
          <w:rFonts w:ascii="Times New Roman" w:eastAsia="仿宋_GB2312" w:hAnsi="Times New Roman" w:cs="Times New Roman"/>
          <w:sz w:val="32"/>
          <w:szCs w:val="32"/>
        </w:rPr>
        <w:t>17254</w:t>
      </w:r>
      <w:r>
        <w:rPr>
          <w:rFonts w:ascii="Times New Roman" w:eastAsia="仿宋_GB2312" w:hAnsi="Times New Roman" w:cs="Times New Roman"/>
          <w:sz w:val="32"/>
          <w:szCs w:val="32"/>
        </w:rPr>
        <w:t>件，占</w:t>
      </w:r>
      <w:r>
        <w:rPr>
          <w:rFonts w:ascii="Times New Roman" w:eastAsia="仿宋_GB2312" w:hAnsi="Times New Roman" w:cs="Times New Roman"/>
          <w:sz w:val="32"/>
          <w:szCs w:val="32"/>
        </w:rPr>
        <w:t>43.6%</w:t>
      </w:r>
      <w:r>
        <w:rPr>
          <w:rFonts w:ascii="Times New Roman" w:eastAsia="仿宋_GB2312" w:hAnsi="Times New Roman" w:cs="Times New Roman"/>
          <w:sz w:val="32"/>
          <w:szCs w:val="32"/>
        </w:rPr>
        <w:t>；</w:t>
      </w:r>
    </w:p>
    <w:p w14:paraId="715BB15B"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部分公开</w:t>
      </w:r>
      <w:r>
        <w:rPr>
          <w:rFonts w:ascii="Times New Roman" w:eastAsia="仿宋_GB2312" w:hAnsi="Times New Roman" w:cs="Times New Roman"/>
          <w:sz w:val="32"/>
          <w:szCs w:val="32"/>
        </w:rPr>
        <w:t>4823</w:t>
      </w:r>
      <w:r>
        <w:rPr>
          <w:rFonts w:ascii="Times New Roman" w:eastAsia="仿宋_GB2312" w:hAnsi="Times New Roman" w:cs="Times New Roman"/>
          <w:sz w:val="32"/>
          <w:szCs w:val="32"/>
        </w:rPr>
        <w:t>件，占</w:t>
      </w:r>
      <w:r>
        <w:rPr>
          <w:rFonts w:ascii="Times New Roman" w:eastAsia="仿宋_GB2312" w:hAnsi="Times New Roman" w:cs="Times New Roman"/>
          <w:sz w:val="32"/>
          <w:szCs w:val="32"/>
        </w:rPr>
        <w:t>12.2%</w:t>
      </w:r>
      <w:r>
        <w:rPr>
          <w:rFonts w:ascii="Times New Roman" w:eastAsia="仿宋_GB2312" w:hAnsi="Times New Roman" w:cs="Times New Roman"/>
          <w:sz w:val="32"/>
          <w:szCs w:val="32"/>
        </w:rPr>
        <w:t>；</w:t>
      </w:r>
    </w:p>
    <w:p w14:paraId="65AFDE80"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不予公开</w:t>
      </w:r>
      <w:r>
        <w:rPr>
          <w:rFonts w:ascii="Times New Roman" w:eastAsia="仿宋_GB2312" w:hAnsi="Times New Roman" w:cs="Times New Roman"/>
          <w:sz w:val="32"/>
          <w:szCs w:val="32"/>
        </w:rPr>
        <w:t>2654</w:t>
      </w:r>
      <w:r>
        <w:rPr>
          <w:rFonts w:ascii="Times New Roman" w:eastAsia="仿宋_GB2312" w:hAnsi="Times New Roman" w:cs="Times New Roman"/>
          <w:sz w:val="32"/>
          <w:szCs w:val="32"/>
        </w:rPr>
        <w:t>件，占</w:t>
      </w:r>
      <w:r>
        <w:rPr>
          <w:rFonts w:ascii="Times New Roman" w:eastAsia="仿宋_GB2312" w:hAnsi="Times New Roman" w:cs="Times New Roman"/>
          <w:sz w:val="32"/>
          <w:szCs w:val="32"/>
        </w:rPr>
        <w:t>6.7%</w:t>
      </w:r>
      <w:r>
        <w:rPr>
          <w:rFonts w:ascii="Times New Roman" w:eastAsia="仿宋_GB2312" w:hAnsi="Times New Roman" w:cs="Times New Roman"/>
          <w:sz w:val="32"/>
          <w:szCs w:val="32"/>
        </w:rPr>
        <w:t>；</w:t>
      </w:r>
    </w:p>
    <w:p w14:paraId="26F7CAD0"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无法提供</w:t>
      </w:r>
      <w:r>
        <w:rPr>
          <w:rFonts w:ascii="Times New Roman" w:eastAsia="仿宋_GB2312" w:hAnsi="Times New Roman" w:cs="Times New Roman"/>
          <w:sz w:val="32"/>
          <w:szCs w:val="32"/>
        </w:rPr>
        <w:t>12128</w:t>
      </w:r>
      <w:r>
        <w:rPr>
          <w:rFonts w:ascii="Times New Roman" w:eastAsia="仿宋_GB2312" w:hAnsi="Times New Roman" w:cs="Times New Roman"/>
          <w:sz w:val="32"/>
          <w:szCs w:val="32"/>
        </w:rPr>
        <w:t>件，占</w:t>
      </w:r>
      <w:r>
        <w:rPr>
          <w:rFonts w:ascii="Times New Roman" w:eastAsia="仿宋_GB2312" w:hAnsi="Times New Roman" w:cs="Times New Roman"/>
          <w:sz w:val="32"/>
          <w:szCs w:val="32"/>
        </w:rPr>
        <w:t>30.7%</w:t>
      </w:r>
      <w:r>
        <w:rPr>
          <w:rFonts w:ascii="Times New Roman" w:eastAsia="仿宋_GB2312" w:hAnsi="Times New Roman" w:cs="Times New Roman"/>
          <w:sz w:val="32"/>
          <w:szCs w:val="32"/>
        </w:rPr>
        <w:t>；</w:t>
      </w:r>
    </w:p>
    <w:p w14:paraId="0B2C6023" w14:textId="77777777" w:rsidR="00812E9B" w:rsidRDefault="00000000">
      <w:pPr>
        <w:spacing w:line="60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不予处理</w:t>
      </w:r>
      <w:proofErr w:type="gramEnd"/>
      <w:r>
        <w:rPr>
          <w:rFonts w:ascii="Times New Roman" w:eastAsia="仿宋_GB2312" w:hAnsi="Times New Roman" w:cs="Times New Roman"/>
          <w:sz w:val="32"/>
          <w:szCs w:val="32"/>
        </w:rPr>
        <w:t>847</w:t>
      </w:r>
      <w:r>
        <w:rPr>
          <w:rFonts w:ascii="Times New Roman" w:eastAsia="仿宋_GB2312" w:hAnsi="Times New Roman" w:cs="Times New Roman"/>
          <w:sz w:val="32"/>
          <w:szCs w:val="32"/>
        </w:rPr>
        <w:t>件，占</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w:t>
      </w:r>
    </w:p>
    <w:p w14:paraId="4070D8A2" w14:textId="77777777" w:rsidR="00812E9B"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其他处理</w:t>
      </w:r>
      <w:r>
        <w:rPr>
          <w:rFonts w:ascii="Times New Roman" w:eastAsia="仿宋_GB2312" w:hAnsi="Times New Roman" w:cs="Times New Roman"/>
          <w:sz w:val="32"/>
          <w:szCs w:val="32"/>
        </w:rPr>
        <w:t>1860</w:t>
      </w:r>
      <w:r>
        <w:rPr>
          <w:rFonts w:ascii="Times New Roman" w:eastAsia="仿宋_GB2312" w:hAnsi="Times New Roman" w:cs="Times New Roman"/>
          <w:sz w:val="32"/>
          <w:szCs w:val="32"/>
        </w:rPr>
        <w:t>件，占</w:t>
      </w:r>
      <w:r>
        <w:rPr>
          <w:rFonts w:ascii="Times New Roman" w:eastAsia="仿宋_GB2312" w:hAnsi="Times New Roman" w:cs="Times New Roman"/>
          <w:sz w:val="32"/>
          <w:szCs w:val="32"/>
        </w:rPr>
        <w:t>4.7%</w:t>
      </w:r>
      <w:r>
        <w:rPr>
          <w:rFonts w:ascii="Times New Roman" w:eastAsia="仿宋_GB2312" w:hAnsi="Times New Roman" w:cs="Times New Roman"/>
          <w:sz w:val="32"/>
          <w:szCs w:val="32"/>
        </w:rPr>
        <w:t>；</w:t>
      </w:r>
    </w:p>
    <w:p w14:paraId="4433A85A" w14:textId="77777777" w:rsidR="00812E9B" w:rsidRDefault="00000000">
      <w:pPr>
        <w:jc w:val="center"/>
        <w:rPr>
          <w:rFonts w:ascii="Times New Roman" w:hAnsi="Times New Roman" w:cs="Times New Roman"/>
          <w:sz w:val="32"/>
          <w:szCs w:val="32"/>
          <w:shd w:val="clear" w:color="auto" w:fill="FFFFFF"/>
        </w:rPr>
      </w:pPr>
      <w:r>
        <w:rPr>
          <w:rFonts w:ascii="Times New Roman" w:hAnsi="Times New Roman" w:cs="Times New Roman"/>
          <w:noProof/>
        </w:rPr>
        <w:drawing>
          <wp:inline distT="0" distB="0" distL="0" distR="0" wp14:anchorId="643E81D9" wp14:editId="658D9344">
            <wp:extent cx="4257675" cy="3790950"/>
            <wp:effectExtent l="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CE54F2" w14:textId="77777777" w:rsidR="00812E9B" w:rsidRDefault="00000000">
      <w:pPr>
        <w:pStyle w:val="ab"/>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在不予公开的</w:t>
      </w:r>
      <w:r>
        <w:rPr>
          <w:rFonts w:ascii="Times New Roman" w:eastAsia="仿宋_GB2312" w:hAnsi="Times New Roman"/>
          <w:sz w:val="32"/>
          <w:szCs w:val="32"/>
        </w:rPr>
        <w:t>2654</w:t>
      </w:r>
      <w:r>
        <w:rPr>
          <w:rFonts w:ascii="Times New Roman" w:eastAsia="仿宋_GB2312" w:hAnsi="Times New Roman"/>
          <w:sz w:val="32"/>
          <w:szCs w:val="32"/>
        </w:rPr>
        <w:t>件中，属于国家秘密的</w:t>
      </w:r>
      <w:r>
        <w:rPr>
          <w:rFonts w:ascii="Times New Roman" w:eastAsia="仿宋_GB2312" w:hAnsi="Times New Roman"/>
          <w:sz w:val="32"/>
          <w:szCs w:val="32"/>
        </w:rPr>
        <w:t>206</w:t>
      </w:r>
      <w:r>
        <w:rPr>
          <w:rFonts w:ascii="Times New Roman" w:eastAsia="仿宋_GB2312" w:hAnsi="Times New Roman"/>
          <w:sz w:val="32"/>
          <w:szCs w:val="32"/>
        </w:rPr>
        <w:t>件，其他法律行政法规禁止公开的</w:t>
      </w:r>
      <w:r>
        <w:rPr>
          <w:rFonts w:ascii="Times New Roman" w:eastAsia="仿宋_GB2312" w:hAnsi="Times New Roman"/>
          <w:sz w:val="32"/>
          <w:szCs w:val="32"/>
        </w:rPr>
        <w:t>163</w:t>
      </w:r>
      <w:r>
        <w:rPr>
          <w:rFonts w:ascii="Times New Roman" w:eastAsia="仿宋_GB2312" w:hAnsi="Times New Roman"/>
          <w:sz w:val="32"/>
          <w:szCs w:val="32"/>
        </w:rPr>
        <w:t>件，危及</w:t>
      </w:r>
      <w:r>
        <w:rPr>
          <w:rFonts w:ascii="Times New Roman" w:eastAsia="仿宋_GB2312" w:hAnsi="Times New Roman" w:hint="eastAsia"/>
          <w:sz w:val="32"/>
          <w:szCs w:val="32"/>
        </w:rPr>
        <w:t>“</w:t>
      </w:r>
      <w:r>
        <w:rPr>
          <w:rFonts w:ascii="Times New Roman" w:eastAsia="仿宋_GB2312" w:hAnsi="Times New Roman"/>
          <w:sz w:val="32"/>
          <w:szCs w:val="32"/>
        </w:rPr>
        <w:t>三安全</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稳定</w:t>
      </w:r>
      <w:r>
        <w:rPr>
          <w:rFonts w:ascii="Times New Roman" w:eastAsia="仿宋_GB2312" w:hAnsi="Times New Roman" w:hint="eastAsia"/>
          <w:sz w:val="32"/>
          <w:szCs w:val="32"/>
        </w:rPr>
        <w:t>”（国家安全、公共安全、经济安全和社会稳定）</w:t>
      </w:r>
      <w:r>
        <w:rPr>
          <w:rFonts w:ascii="Times New Roman" w:eastAsia="仿宋_GB2312" w:hAnsi="Times New Roman"/>
          <w:sz w:val="32"/>
          <w:szCs w:val="32"/>
        </w:rPr>
        <w:t>的</w:t>
      </w:r>
      <w:r>
        <w:rPr>
          <w:rFonts w:ascii="Times New Roman" w:eastAsia="仿宋_GB2312" w:hAnsi="Times New Roman"/>
          <w:sz w:val="32"/>
          <w:szCs w:val="32"/>
        </w:rPr>
        <w:t>39</w:t>
      </w:r>
      <w:r>
        <w:rPr>
          <w:rFonts w:ascii="Times New Roman" w:eastAsia="仿宋_GB2312" w:hAnsi="Times New Roman"/>
          <w:sz w:val="32"/>
          <w:szCs w:val="32"/>
        </w:rPr>
        <w:t>件，保护第三方合法权益的</w:t>
      </w:r>
      <w:r>
        <w:rPr>
          <w:rFonts w:ascii="Times New Roman" w:eastAsia="仿宋_GB2312" w:hAnsi="Times New Roman"/>
          <w:sz w:val="32"/>
          <w:szCs w:val="32"/>
        </w:rPr>
        <w:t>1086</w:t>
      </w:r>
      <w:r>
        <w:rPr>
          <w:rFonts w:ascii="Times New Roman" w:eastAsia="仿宋_GB2312" w:hAnsi="Times New Roman"/>
          <w:sz w:val="32"/>
          <w:szCs w:val="32"/>
        </w:rPr>
        <w:t>件，属于三类内部事务信息的</w:t>
      </w:r>
      <w:r>
        <w:rPr>
          <w:rFonts w:ascii="Times New Roman" w:eastAsia="仿宋_GB2312" w:hAnsi="Times New Roman"/>
          <w:sz w:val="32"/>
          <w:szCs w:val="32"/>
        </w:rPr>
        <w:t>319</w:t>
      </w:r>
      <w:r>
        <w:rPr>
          <w:rFonts w:ascii="Times New Roman" w:eastAsia="仿宋_GB2312" w:hAnsi="Times New Roman"/>
          <w:sz w:val="32"/>
          <w:szCs w:val="32"/>
        </w:rPr>
        <w:t>件，属于四类过程性信息的</w:t>
      </w:r>
      <w:r>
        <w:rPr>
          <w:rFonts w:ascii="Times New Roman" w:eastAsia="仿宋_GB2312" w:hAnsi="Times New Roman"/>
          <w:sz w:val="32"/>
          <w:szCs w:val="32"/>
        </w:rPr>
        <w:t>239</w:t>
      </w:r>
      <w:r>
        <w:rPr>
          <w:rFonts w:ascii="Times New Roman" w:eastAsia="仿宋_GB2312" w:hAnsi="Times New Roman"/>
          <w:sz w:val="32"/>
          <w:szCs w:val="32"/>
        </w:rPr>
        <w:t>件，属于行政执法案卷的</w:t>
      </w:r>
      <w:r>
        <w:rPr>
          <w:rFonts w:ascii="Times New Roman" w:eastAsia="仿宋_GB2312" w:hAnsi="Times New Roman"/>
          <w:sz w:val="32"/>
          <w:szCs w:val="32"/>
        </w:rPr>
        <w:t>266</w:t>
      </w:r>
      <w:r>
        <w:rPr>
          <w:rFonts w:ascii="Times New Roman" w:eastAsia="仿宋_GB2312" w:hAnsi="Times New Roman"/>
          <w:sz w:val="32"/>
          <w:szCs w:val="32"/>
        </w:rPr>
        <w:t>件，属于行政查询事项的</w:t>
      </w:r>
      <w:r>
        <w:rPr>
          <w:rFonts w:ascii="Times New Roman" w:eastAsia="仿宋_GB2312" w:hAnsi="Times New Roman"/>
          <w:sz w:val="32"/>
          <w:szCs w:val="32"/>
        </w:rPr>
        <w:t>336</w:t>
      </w:r>
      <w:r>
        <w:rPr>
          <w:rFonts w:ascii="Times New Roman" w:eastAsia="仿宋_GB2312" w:hAnsi="Times New Roman"/>
          <w:sz w:val="32"/>
          <w:szCs w:val="32"/>
        </w:rPr>
        <w:t>件；在无法提供的</w:t>
      </w:r>
      <w:r>
        <w:rPr>
          <w:rFonts w:ascii="Times New Roman" w:eastAsia="仿宋_GB2312" w:hAnsi="Times New Roman"/>
          <w:sz w:val="32"/>
          <w:szCs w:val="32"/>
        </w:rPr>
        <w:t>12128</w:t>
      </w:r>
      <w:r>
        <w:rPr>
          <w:rFonts w:ascii="Times New Roman" w:eastAsia="仿宋_GB2312" w:hAnsi="Times New Roman"/>
          <w:sz w:val="32"/>
          <w:szCs w:val="32"/>
        </w:rPr>
        <w:t>件中，本机关不掌握相关政府信息的</w:t>
      </w:r>
      <w:r>
        <w:rPr>
          <w:rFonts w:ascii="Times New Roman" w:eastAsia="仿宋_GB2312" w:hAnsi="Times New Roman"/>
          <w:sz w:val="32"/>
          <w:szCs w:val="32"/>
        </w:rPr>
        <w:t>11615</w:t>
      </w:r>
      <w:r>
        <w:rPr>
          <w:rFonts w:ascii="Times New Roman" w:eastAsia="仿宋_GB2312" w:hAnsi="Times New Roman"/>
          <w:sz w:val="32"/>
          <w:szCs w:val="32"/>
        </w:rPr>
        <w:t>件，没有现成信息需要另行制作的</w:t>
      </w:r>
      <w:r>
        <w:rPr>
          <w:rFonts w:ascii="Times New Roman" w:eastAsia="仿宋_GB2312" w:hAnsi="Times New Roman"/>
          <w:sz w:val="32"/>
          <w:szCs w:val="32"/>
        </w:rPr>
        <w:t>409</w:t>
      </w:r>
      <w:r>
        <w:rPr>
          <w:rFonts w:ascii="Times New Roman" w:eastAsia="仿宋_GB2312" w:hAnsi="Times New Roman"/>
          <w:sz w:val="32"/>
          <w:szCs w:val="32"/>
        </w:rPr>
        <w:t>件，补正后申请内容仍不明确的</w:t>
      </w:r>
      <w:r>
        <w:rPr>
          <w:rFonts w:ascii="Times New Roman" w:eastAsia="仿宋_GB2312" w:hAnsi="Times New Roman"/>
          <w:sz w:val="32"/>
          <w:szCs w:val="32"/>
        </w:rPr>
        <w:t>104</w:t>
      </w:r>
      <w:r>
        <w:rPr>
          <w:rFonts w:ascii="Times New Roman" w:eastAsia="仿宋_GB2312" w:hAnsi="Times New Roman"/>
          <w:sz w:val="32"/>
          <w:szCs w:val="32"/>
        </w:rPr>
        <w:t>件；在</w:t>
      </w:r>
      <w:proofErr w:type="gramStart"/>
      <w:r>
        <w:rPr>
          <w:rFonts w:ascii="Times New Roman" w:eastAsia="仿宋_GB2312" w:hAnsi="Times New Roman"/>
          <w:sz w:val="32"/>
          <w:szCs w:val="32"/>
        </w:rPr>
        <w:t>不予处理</w:t>
      </w:r>
      <w:proofErr w:type="gramEnd"/>
      <w:r>
        <w:rPr>
          <w:rFonts w:ascii="Times New Roman" w:eastAsia="仿宋_GB2312" w:hAnsi="Times New Roman"/>
          <w:sz w:val="32"/>
          <w:szCs w:val="32"/>
        </w:rPr>
        <w:t>的</w:t>
      </w:r>
      <w:r>
        <w:rPr>
          <w:rFonts w:ascii="Times New Roman" w:eastAsia="仿宋_GB2312" w:hAnsi="Times New Roman"/>
          <w:sz w:val="32"/>
          <w:szCs w:val="32"/>
        </w:rPr>
        <w:t>847</w:t>
      </w:r>
      <w:r>
        <w:rPr>
          <w:rFonts w:ascii="Times New Roman" w:eastAsia="仿宋_GB2312" w:hAnsi="Times New Roman"/>
          <w:sz w:val="32"/>
          <w:szCs w:val="32"/>
        </w:rPr>
        <w:t>件中，信访举报投诉类申请</w:t>
      </w:r>
      <w:r>
        <w:rPr>
          <w:rFonts w:ascii="Times New Roman" w:eastAsia="仿宋_GB2312" w:hAnsi="Times New Roman"/>
          <w:sz w:val="32"/>
          <w:szCs w:val="32"/>
        </w:rPr>
        <w:t>311</w:t>
      </w:r>
      <w:r>
        <w:rPr>
          <w:rFonts w:ascii="Times New Roman" w:eastAsia="仿宋_GB2312" w:hAnsi="Times New Roman"/>
          <w:sz w:val="32"/>
          <w:szCs w:val="32"/>
        </w:rPr>
        <w:t>件，重复申请</w:t>
      </w:r>
      <w:r>
        <w:rPr>
          <w:rFonts w:ascii="Times New Roman" w:eastAsia="仿宋_GB2312" w:hAnsi="Times New Roman"/>
          <w:sz w:val="32"/>
          <w:szCs w:val="32"/>
        </w:rPr>
        <w:t>332</w:t>
      </w:r>
      <w:r>
        <w:rPr>
          <w:rFonts w:ascii="Times New Roman" w:eastAsia="仿宋_GB2312" w:hAnsi="Times New Roman"/>
          <w:sz w:val="32"/>
          <w:szCs w:val="32"/>
        </w:rPr>
        <w:t>件，要求提供公开出版物的</w:t>
      </w:r>
      <w:r>
        <w:rPr>
          <w:rFonts w:ascii="Times New Roman" w:eastAsia="仿宋_GB2312" w:hAnsi="Times New Roman"/>
          <w:sz w:val="32"/>
          <w:szCs w:val="32"/>
        </w:rPr>
        <w:t>1</w:t>
      </w:r>
      <w:r>
        <w:rPr>
          <w:rFonts w:ascii="Times New Roman" w:eastAsia="仿宋_GB2312" w:hAnsi="Times New Roman"/>
          <w:sz w:val="32"/>
          <w:szCs w:val="32"/>
        </w:rPr>
        <w:t>件，无正当理由大量反复申请的</w:t>
      </w:r>
      <w:r>
        <w:rPr>
          <w:rFonts w:ascii="Times New Roman" w:eastAsia="仿宋_GB2312" w:hAnsi="Times New Roman"/>
          <w:sz w:val="32"/>
          <w:szCs w:val="32"/>
        </w:rPr>
        <w:t>170</w:t>
      </w:r>
      <w:r>
        <w:rPr>
          <w:rFonts w:ascii="Times New Roman" w:eastAsia="仿宋_GB2312" w:hAnsi="Times New Roman"/>
          <w:sz w:val="32"/>
          <w:szCs w:val="32"/>
        </w:rPr>
        <w:t>件，要求行政机关确认或重新出具已获取信息的</w:t>
      </w:r>
      <w:r>
        <w:rPr>
          <w:rFonts w:ascii="Times New Roman" w:eastAsia="仿宋_GB2312" w:hAnsi="Times New Roman"/>
          <w:sz w:val="32"/>
          <w:szCs w:val="32"/>
        </w:rPr>
        <w:t>33</w:t>
      </w:r>
      <w:r>
        <w:rPr>
          <w:rFonts w:ascii="Times New Roman" w:eastAsia="仿宋_GB2312" w:hAnsi="Times New Roman"/>
          <w:sz w:val="32"/>
          <w:szCs w:val="32"/>
        </w:rPr>
        <w:t>件；在其他处理的</w:t>
      </w:r>
      <w:r>
        <w:rPr>
          <w:rFonts w:ascii="Times New Roman" w:eastAsia="仿宋_GB2312" w:hAnsi="Times New Roman"/>
          <w:sz w:val="32"/>
          <w:szCs w:val="32"/>
        </w:rPr>
        <w:t>1860</w:t>
      </w:r>
      <w:r>
        <w:rPr>
          <w:rFonts w:ascii="Times New Roman" w:eastAsia="仿宋_GB2312" w:hAnsi="Times New Roman"/>
          <w:sz w:val="32"/>
          <w:szCs w:val="32"/>
        </w:rPr>
        <w:t>件，申请人无正当理由逾期</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补正、行政机关</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再处理其政府信息公开申请的</w:t>
      </w:r>
      <w:r>
        <w:rPr>
          <w:rFonts w:ascii="Times New Roman" w:eastAsia="仿宋_GB2312" w:hAnsi="Times New Roman"/>
          <w:sz w:val="32"/>
          <w:szCs w:val="32"/>
        </w:rPr>
        <w:t>495</w:t>
      </w:r>
      <w:r>
        <w:rPr>
          <w:rFonts w:ascii="Times New Roman" w:eastAsia="仿宋_GB2312" w:hAnsi="Times New Roman"/>
          <w:sz w:val="32"/>
          <w:szCs w:val="32"/>
        </w:rPr>
        <w:t>件，申请人逾期未按收费通知要求缴纳费用、行政机关</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再处理其政府信息公开申请的</w:t>
      </w:r>
      <w:r>
        <w:rPr>
          <w:rFonts w:ascii="Times New Roman" w:eastAsia="仿宋_GB2312" w:hAnsi="Times New Roman"/>
          <w:sz w:val="32"/>
          <w:szCs w:val="32"/>
        </w:rPr>
        <w:t>150</w:t>
      </w:r>
      <w:r>
        <w:rPr>
          <w:rFonts w:ascii="Times New Roman" w:eastAsia="仿宋_GB2312" w:hAnsi="Times New Roman"/>
          <w:sz w:val="32"/>
          <w:szCs w:val="32"/>
        </w:rPr>
        <w:t>件，其他</w:t>
      </w:r>
      <w:r>
        <w:rPr>
          <w:rFonts w:ascii="Times New Roman" w:eastAsia="仿宋_GB2312" w:hAnsi="Times New Roman"/>
          <w:sz w:val="32"/>
          <w:szCs w:val="32"/>
        </w:rPr>
        <w:t>1215</w:t>
      </w:r>
      <w:r>
        <w:rPr>
          <w:rFonts w:ascii="Times New Roman" w:eastAsia="仿宋_GB2312" w:hAnsi="Times New Roman"/>
          <w:sz w:val="32"/>
          <w:szCs w:val="32"/>
        </w:rPr>
        <w:t>件。</w:t>
      </w:r>
    </w:p>
    <w:p w14:paraId="629D8FFE" w14:textId="77777777" w:rsidR="00812E9B" w:rsidRDefault="00000000">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）政府信息公开行政复议、行政诉讼情况。</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年，全省各级政府和县级以上政府部门因政府信息公开被申请行政复议</w:t>
      </w:r>
      <w:r>
        <w:rPr>
          <w:rFonts w:ascii="Times New Roman" w:eastAsia="仿宋_GB2312" w:hAnsi="Times New Roman" w:cs="Times New Roman"/>
          <w:sz w:val="32"/>
          <w:szCs w:val="32"/>
        </w:rPr>
        <w:t>1289</w:t>
      </w:r>
      <w:r>
        <w:rPr>
          <w:rFonts w:ascii="Times New Roman" w:eastAsia="仿宋_GB2312" w:hAnsi="Times New Roman" w:cs="Times New Roman"/>
          <w:sz w:val="32"/>
          <w:szCs w:val="32"/>
        </w:rPr>
        <w:t>件，同比增加</w:t>
      </w:r>
      <w:r>
        <w:rPr>
          <w:rFonts w:ascii="Times New Roman" w:eastAsia="仿宋_GB2312" w:hAnsi="Times New Roman" w:cs="Times New Roman"/>
          <w:sz w:val="32"/>
          <w:szCs w:val="32"/>
        </w:rPr>
        <w:t>0.2%</w:t>
      </w:r>
      <w:r>
        <w:rPr>
          <w:rFonts w:ascii="Times New Roman" w:eastAsia="仿宋_GB2312" w:hAnsi="Times New Roman" w:cs="Times New Roman"/>
          <w:sz w:val="32"/>
          <w:szCs w:val="32"/>
        </w:rPr>
        <w:t>。其中，结果维持</w:t>
      </w:r>
      <w:r>
        <w:rPr>
          <w:rFonts w:ascii="Times New Roman" w:eastAsia="仿宋_GB2312" w:hAnsi="Times New Roman" w:cs="Times New Roman"/>
          <w:sz w:val="32"/>
          <w:szCs w:val="32"/>
        </w:rPr>
        <w:t>861</w:t>
      </w:r>
      <w:r>
        <w:rPr>
          <w:rFonts w:ascii="Times New Roman" w:eastAsia="仿宋_GB2312" w:hAnsi="Times New Roman" w:cs="Times New Roman"/>
          <w:sz w:val="32"/>
          <w:szCs w:val="32"/>
        </w:rPr>
        <w:t>件、结果纠正</w:t>
      </w:r>
      <w:r>
        <w:rPr>
          <w:rFonts w:ascii="Times New Roman" w:eastAsia="仿宋_GB2312" w:hAnsi="Times New Roman" w:cs="Times New Roman"/>
          <w:sz w:val="32"/>
          <w:szCs w:val="32"/>
        </w:rPr>
        <w:t>179</w:t>
      </w:r>
      <w:r>
        <w:rPr>
          <w:rFonts w:ascii="Times New Roman" w:eastAsia="仿宋_GB2312" w:hAnsi="Times New Roman" w:cs="Times New Roman"/>
          <w:sz w:val="32"/>
          <w:szCs w:val="32"/>
        </w:rPr>
        <w:t>件、其他结果</w:t>
      </w:r>
      <w:r>
        <w:rPr>
          <w:rFonts w:ascii="Times New Roman" w:eastAsia="仿宋_GB2312" w:hAnsi="Times New Roman" w:cs="Times New Roman"/>
          <w:sz w:val="32"/>
          <w:szCs w:val="32"/>
        </w:rPr>
        <w:t>125</w:t>
      </w:r>
      <w:r>
        <w:rPr>
          <w:rFonts w:ascii="Times New Roman" w:eastAsia="仿宋_GB2312" w:hAnsi="Times New Roman" w:cs="Times New Roman"/>
          <w:sz w:val="32"/>
          <w:szCs w:val="32"/>
        </w:rPr>
        <w:t>件、尚未审结</w:t>
      </w:r>
      <w:r>
        <w:rPr>
          <w:rFonts w:ascii="Times New Roman" w:eastAsia="仿宋_GB2312" w:hAnsi="Times New Roman" w:cs="Times New Roman"/>
          <w:sz w:val="32"/>
          <w:szCs w:val="32"/>
        </w:rPr>
        <w:t>124</w:t>
      </w:r>
      <w:r>
        <w:rPr>
          <w:rFonts w:ascii="Times New Roman" w:eastAsia="仿宋_GB2312" w:hAnsi="Times New Roman" w:cs="Times New Roman"/>
          <w:sz w:val="32"/>
          <w:szCs w:val="32"/>
        </w:rPr>
        <w:t>件，分别占</w:t>
      </w:r>
      <w:r>
        <w:rPr>
          <w:rFonts w:ascii="Times New Roman" w:eastAsia="仿宋_GB2312" w:hAnsi="Times New Roman" w:cs="Times New Roman"/>
          <w:sz w:val="32"/>
          <w:szCs w:val="32"/>
        </w:rPr>
        <w:t>66.8%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13.9%</w:t>
      </w:r>
      <w:r>
        <w:rPr>
          <w:rFonts w:ascii="Times New Roman" w:eastAsia="仿宋_GB2312" w:hAnsi="Times New Roman" w:cs="Times New Roman"/>
          <w:sz w:val="32"/>
          <w:szCs w:val="32"/>
        </w:rPr>
        <w:t>、</w:t>
      </w:r>
      <w:r>
        <w:rPr>
          <w:rFonts w:ascii="Times New Roman" w:eastAsia="仿宋_GB2312" w:hAnsi="Times New Roman" w:cs="Times New Roman"/>
          <w:sz w:val="32"/>
          <w:szCs w:val="32"/>
        </w:rPr>
        <w:t>9.7%</w:t>
      </w:r>
      <w:r>
        <w:rPr>
          <w:rFonts w:ascii="Times New Roman" w:eastAsia="仿宋_GB2312" w:hAnsi="Times New Roman" w:cs="Times New Roman"/>
          <w:sz w:val="32"/>
          <w:szCs w:val="32"/>
        </w:rPr>
        <w:t>、</w:t>
      </w:r>
      <w:r>
        <w:rPr>
          <w:rFonts w:ascii="Times New Roman" w:eastAsia="仿宋_GB2312" w:hAnsi="Times New Roman" w:cs="Times New Roman"/>
          <w:sz w:val="32"/>
          <w:szCs w:val="32"/>
        </w:rPr>
        <w:t>9.6%</w:t>
      </w:r>
      <w:r>
        <w:rPr>
          <w:rFonts w:ascii="Times New Roman" w:eastAsia="仿宋_GB2312" w:hAnsi="Times New Roman" w:cs="Times New Roman"/>
          <w:sz w:val="32"/>
          <w:szCs w:val="32"/>
        </w:rPr>
        <w:t>。全省因公民、法人和其他组织认为行政机关政府信息公开工作具体行政行为侵犯其合法权益，提起行政诉讼</w:t>
      </w:r>
      <w:r>
        <w:rPr>
          <w:rFonts w:ascii="Times New Roman" w:eastAsia="仿宋_GB2312" w:hAnsi="Times New Roman" w:cs="Times New Roman"/>
          <w:sz w:val="32"/>
          <w:szCs w:val="32"/>
        </w:rPr>
        <w:t>1052</w:t>
      </w:r>
      <w:r>
        <w:rPr>
          <w:rFonts w:ascii="Times New Roman" w:eastAsia="仿宋_GB2312" w:hAnsi="Times New Roman" w:cs="Times New Roman"/>
          <w:sz w:val="32"/>
          <w:szCs w:val="32"/>
        </w:rPr>
        <w:t>件，同比减少</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。其中，未经复议直接起诉</w:t>
      </w:r>
      <w:r>
        <w:rPr>
          <w:rFonts w:ascii="Times New Roman" w:eastAsia="仿宋_GB2312" w:hAnsi="Times New Roman" w:cs="Times New Roman"/>
          <w:sz w:val="32"/>
          <w:szCs w:val="32"/>
        </w:rPr>
        <w:t>692</w:t>
      </w:r>
      <w:r>
        <w:rPr>
          <w:rFonts w:ascii="Times New Roman" w:eastAsia="仿宋_GB2312" w:hAnsi="Times New Roman" w:cs="Times New Roman"/>
          <w:sz w:val="32"/>
          <w:szCs w:val="32"/>
        </w:rPr>
        <w:t>件，复议后起诉</w:t>
      </w:r>
      <w:r>
        <w:rPr>
          <w:rFonts w:ascii="Times New Roman" w:eastAsia="仿宋_GB2312" w:hAnsi="Times New Roman" w:cs="Times New Roman"/>
          <w:sz w:val="32"/>
          <w:szCs w:val="32"/>
        </w:rPr>
        <w:t>360</w:t>
      </w:r>
      <w:r>
        <w:rPr>
          <w:rFonts w:ascii="Times New Roman" w:eastAsia="仿宋_GB2312" w:hAnsi="Times New Roman" w:cs="Times New Roman"/>
          <w:sz w:val="32"/>
          <w:szCs w:val="32"/>
        </w:rPr>
        <w:t>件，分别占</w:t>
      </w:r>
      <w:r>
        <w:rPr>
          <w:rFonts w:ascii="Times New Roman" w:eastAsia="仿宋_GB2312" w:hAnsi="Times New Roman" w:cs="Times New Roman"/>
          <w:sz w:val="32"/>
          <w:szCs w:val="32"/>
        </w:rPr>
        <w:t>65.8%</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34.2%</w:t>
      </w:r>
      <w:r>
        <w:rPr>
          <w:rFonts w:ascii="Times New Roman" w:eastAsia="仿宋_GB2312" w:hAnsi="Times New Roman" w:cs="Times New Roman"/>
          <w:sz w:val="32"/>
          <w:szCs w:val="32"/>
        </w:rPr>
        <w:t>。</w:t>
      </w:r>
    </w:p>
    <w:p w14:paraId="51A9F96F" w14:textId="77777777" w:rsidR="00812E9B" w:rsidRDefault="00000000">
      <w:pPr>
        <w:pStyle w:val="2"/>
        <w:numPr>
          <w:ilvl w:val="0"/>
          <w:numId w:val="3"/>
        </w:numPr>
        <w:spacing w:before="0" w:after="0" w:line="600" w:lineRule="exact"/>
        <w:ind w:left="0" w:firstLineChars="200" w:firstLine="643"/>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lastRenderedPageBreak/>
        <w:t>人大代表建议和政协提案办理结果公开情况</w:t>
      </w:r>
    </w:p>
    <w:p w14:paraId="00D30253" w14:textId="77777777" w:rsidR="00812E9B"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年，全年共</w:t>
      </w:r>
      <w:proofErr w:type="gramStart"/>
      <w:r>
        <w:rPr>
          <w:rFonts w:ascii="Times New Roman" w:eastAsia="仿宋_GB2312" w:hAnsi="Times New Roman" w:cs="Times New Roman"/>
          <w:sz w:val="32"/>
          <w:szCs w:val="32"/>
        </w:rPr>
        <w:t>办理省</w:t>
      </w:r>
      <w:proofErr w:type="gramEnd"/>
      <w:r>
        <w:rPr>
          <w:rFonts w:ascii="Times New Roman" w:eastAsia="仿宋_GB2312" w:hAnsi="Times New Roman" w:cs="Times New Roman"/>
          <w:sz w:val="32"/>
          <w:szCs w:val="32"/>
        </w:rPr>
        <w:t>人大代表建议</w:t>
      </w:r>
      <w:r>
        <w:rPr>
          <w:rFonts w:ascii="Times New Roman" w:eastAsia="仿宋_GB2312" w:hAnsi="Times New Roman" w:cs="Times New Roman"/>
          <w:sz w:val="32"/>
          <w:szCs w:val="32"/>
        </w:rPr>
        <w:t>916</w:t>
      </w:r>
      <w:r>
        <w:rPr>
          <w:rFonts w:ascii="Times New Roman" w:eastAsia="仿宋_GB2312" w:hAnsi="Times New Roman" w:cs="Times New Roman"/>
          <w:sz w:val="32"/>
          <w:szCs w:val="32"/>
        </w:rPr>
        <w:t>件、政协委员提案</w:t>
      </w:r>
      <w:r>
        <w:rPr>
          <w:rFonts w:ascii="Times New Roman" w:eastAsia="仿宋_GB2312" w:hAnsi="Times New Roman" w:cs="Times New Roman"/>
          <w:sz w:val="32"/>
          <w:szCs w:val="32"/>
        </w:rPr>
        <w:t>771</w:t>
      </w:r>
      <w:r>
        <w:rPr>
          <w:rFonts w:ascii="Times New Roman" w:eastAsia="仿宋_GB2312" w:hAnsi="Times New Roman" w:cs="Times New Roman"/>
          <w:sz w:val="32"/>
          <w:szCs w:val="32"/>
        </w:rPr>
        <w:t>件，办复率均为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。除涉及国家秘密、工作秘密的，所有建议提案办理复文或摘要以及办理总体情况均在省政府门户网站建议提案办理结果公开专栏中予以公开。</w:t>
      </w:r>
    </w:p>
    <w:p w14:paraId="3A0CEC51" w14:textId="77777777" w:rsidR="00812E9B" w:rsidRDefault="00000000">
      <w:pPr>
        <w:pStyle w:val="2"/>
        <w:spacing w:before="0" w:after="0" w:line="600" w:lineRule="exact"/>
        <w:ind w:left="643"/>
        <w:rPr>
          <w:rFonts w:ascii="Times New Roman" w:eastAsia="仿宋_GB2312" w:hAnsi="Times New Roman" w:cs="Times New Roman"/>
        </w:rPr>
      </w:pPr>
      <w:r>
        <w:rPr>
          <w:rFonts w:ascii="Times New Roman" w:eastAsia="楷体_GB2312" w:hAnsi="Times New Roman" w:cs="Times New Roman"/>
          <w:color w:val="000000" w:themeColor="text1"/>
        </w:rPr>
        <w:t>（四）</w:t>
      </w:r>
      <w:r>
        <w:rPr>
          <w:rFonts w:ascii="Times New Roman" w:eastAsia="仿宋_GB2312" w:hAnsi="Times New Roman" w:cs="Times New Roman"/>
        </w:rPr>
        <w:t>年度政务公开工作创新情况</w:t>
      </w:r>
    </w:p>
    <w:p w14:paraId="1CD2A1D1" w14:textId="77777777" w:rsidR="00812E9B" w:rsidRDefault="00000000">
      <w:pPr>
        <w:pStyle w:val="3"/>
        <w:spacing w:before="0" w:after="0" w:line="600" w:lineRule="exact"/>
        <w:ind w:firstLineChars="200" w:firstLine="643"/>
        <w:rPr>
          <w:rFonts w:ascii="Times New Roman" w:eastAsia="仿宋_GB2312" w:hAnsi="Times New Roman" w:cs="Times New Roman"/>
        </w:rPr>
      </w:pPr>
      <w:r>
        <w:rPr>
          <w:rFonts w:ascii="Times New Roman" w:eastAsia="仿宋_GB2312" w:hAnsi="Times New Roman" w:cs="Times New Roman"/>
        </w:rPr>
        <w:t>一是坚持解疑释惑、引导预期，政策解读时效性不断增强。</w:t>
      </w:r>
      <w:r>
        <w:rPr>
          <w:rFonts w:ascii="Times New Roman" w:eastAsia="仿宋_GB2312" w:hAnsi="Times New Roman" w:cs="Times New Roman"/>
          <w:b w:val="0"/>
          <w:bCs w:val="0"/>
        </w:rPr>
        <w:t>全省各级各部门按照</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谁起草、谁解读</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原则，建立健全政策解读制度机制，将政策制定与解读同步进行，通过一把手解读、专家解读、新闻发布会、答记者问等方式，主动引导舆论，提</w:t>
      </w:r>
      <w:proofErr w:type="gramStart"/>
      <w:r>
        <w:rPr>
          <w:rFonts w:ascii="Times New Roman" w:eastAsia="仿宋_GB2312" w:hAnsi="Times New Roman" w:cs="Times New Roman"/>
          <w:b w:val="0"/>
          <w:bCs w:val="0"/>
        </w:rPr>
        <w:t>振市场</w:t>
      </w:r>
      <w:proofErr w:type="gramEnd"/>
      <w:r>
        <w:rPr>
          <w:rFonts w:ascii="Times New Roman" w:eastAsia="仿宋_GB2312" w:hAnsi="Times New Roman" w:cs="Times New Roman"/>
          <w:b w:val="0"/>
          <w:bCs w:val="0"/>
        </w:rPr>
        <w:t>信心。</w:t>
      </w:r>
      <w:r>
        <w:rPr>
          <w:rFonts w:ascii="Times New Roman" w:eastAsia="仿宋_GB2312" w:hAnsi="Times New Roman" w:cs="Times New Roman"/>
          <w:b w:val="0"/>
          <w:bCs w:val="0"/>
        </w:rPr>
        <w:t>2022</w:t>
      </w:r>
      <w:r>
        <w:rPr>
          <w:rFonts w:ascii="Times New Roman" w:eastAsia="仿宋_GB2312" w:hAnsi="Times New Roman" w:cs="Times New Roman"/>
          <w:b w:val="0"/>
          <w:bCs w:val="0"/>
        </w:rPr>
        <w:t>年各级各部门重要政策解读比例达到</w:t>
      </w:r>
      <w:r>
        <w:rPr>
          <w:rFonts w:ascii="Times New Roman" w:eastAsia="仿宋_GB2312" w:hAnsi="Times New Roman" w:cs="Times New Roman"/>
          <w:b w:val="0"/>
          <w:bCs w:val="0"/>
        </w:rPr>
        <w:t>98%</w:t>
      </w:r>
      <w:r>
        <w:rPr>
          <w:rFonts w:ascii="Times New Roman" w:eastAsia="仿宋_GB2312" w:hAnsi="Times New Roman" w:cs="Times New Roman"/>
          <w:b w:val="0"/>
          <w:bCs w:val="0"/>
        </w:rPr>
        <w:t>、提升</w:t>
      </w:r>
      <w:r>
        <w:rPr>
          <w:rFonts w:ascii="Times New Roman" w:eastAsia="仿宋_GB2312" w:hAnsi="Times New Roman" w:cs="Times New Roman"/>
          <w:b w:val="0"/>
          <w:bCs w:val="0"/>
        </w:rPr>
        <w:t>2%</w:t>
      </w:r>
      <w:r>
        <w:rPr>
          <w:rFonts w:ascii="Times New Roman" w:eastAsia="仿宋_GB2312" w:hAnsi="Times New Roman" w:cs="Times New Roman"/>
          <w:b w:val="0"/>
          <w:bCs w:val="0"/>
        </w:rPr>
        <w:t>，图片、视频、</w:t>
      </w:r>
      <w:proofErr w:type="gramStart"/>
      <w:r>
        <w:rPr>
          <w:rFonts w:ascii="Times New Roman" w:eastAsia="仿宋_GB2312" w:hAnsi="Times New Roman" w:cs="Times New Roman"/>
          <w:b w:val="0"/>
          <w:bCs w:val="0"/>
        </w:rPr>
        <w:t>动漫等</w:t>
      </w:r>
      <w:proofErr w:type="gramEnd"/>
      <w:r>
        <w:rPr>
          <w:rFonts w:ascii="Times New Roman" w:eastAsia="仿宋_GB2312" w:hAnsi="Times New Roman" w:cs="Times New Roman"/>
          <w:b w:val="0"/>
          <w:bCs w:val="0"/>
        </w:rPr>
        <w:t>非纯文字</w:t>
      </w:r>
      <w:proofErr w:type="gramStart"/>
      <w:r>
        <w:rPr>
          <w:rFonts w:ascii="Times New Roman" w:eastAsia="仿宋_GB2312" w:hAnsi="Times New Roman" w:cs="Times New Roman"/>
          <w:b w:val="0"/>
          <w:bCs w:val="0"/>
        </w:rPr>
        <w:t>解读占</w:t>
      </w:r>
      <w:proofErr w:type="gramEnd"/>
      <w:r>
        <w:rPr>
          <w:rFonts w:ascii="Times New Roman" w:eastAsia="仿宋_GB2312" w:hAnsi="Times New Roman" w:cs="Times New Roman"/>
          <w:b w:val="0"/>
          <w:bCs w:val="0"/>
        </w:rPr>
        <w:t>比超过</w:t>
      </w:r>
      <w:r>
        <w:rPr>
          <w:rFonts w:ascii="Times New Roman" w:eastAsia="仿宋_GB2312" w:hAnsi="Times New Roman" w:cs="Times New Roman"/>
          <w:b w:val="0"/>
          <w:bCs w:val="0"/>
        </w:rPr>
        <w:t>70%</w:t>
      </w:r>
      <w:r>
        <w:rPr>
          <w:rFonts w:ascii="Times New Roman" w:eastAsia="仿宋_GB2312" w:hAnsi="Times New Roman" w:cs="Times New Roman"/>
          <w:b w:val="0"/>
          <w:bCs w:val="0"/>
        </w:rPr>
        <w:t>、提升</w:t>
      </w:r>
      <w:r>
        <w:rPr>
          <w:rFonts w:ascii="Times New Roman" w:eastAsia="仿宋_GB2312" w:hAnsi="Times New Roman" w:cs="Times New Roman"/>
          <w:b w:val="0"/>
          <w:bCs w:val="0"/>
        </w:rPr>
        <w:t>10%</w:t>
      </w:r>
      <w:r>
        <w:rPr>
          <w:rFonts w:ascii="Times New Roman" w:eastAsia="仿宋_GB2312" w:hAnsi="Times New Roman" w:cs="Times New Roman"/>
          <w:b w:val="0"/>
          <w:bCs w:val="0"/>
        </w:rPr>
        <w:t>，一把手解读、专家解读和媒体解读比例也有较大的提升。省人力资源社会保障</w:t>
      </w:r>
      <w:proofErr w:type="gramStart"/>
      <w:r>
        <w:rPr>
          <w:rFonts w:ascii="Times New Roman" w:eastAsia="仿宋_GB2312" w:hAnsi="Times New Roman" w:cs="Times New Roman"/>
          <w:b w:val="0"/>
          <w:bCs w:val="0"/>
        </w:rPr>
        <w:t>厅创新</w:t>
      </w:r>
      <w:proofErr w:type="gramEnd"/>
      <w:r>
        <w:rPr>
          <w:rFonts w:ascii="Times New Roman" w:eastAsia="仿宋_GB2312" w:hAnsi="Times New Roman" w:cs="Times New Roman"/>
          <w:b w:val="0"/>
          <w:bCs w:val="0"/>
        </w:rPr>
        <w:t>打造</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剧场话就业</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社保小剧场</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等系列短视频，以情景剧的形式自编自导自演，鲜活生动的开展宣传解读，进一步扩大了</w:t>
      </w:r>
      <w:proofErr w:type="gramStart"/>
      <w:r>
        <w:rPr>
          <w:rFonts w:ascii="Times New Roman" w:eastAsia="仿宋_GB2312" w:hAnsi="Times New Roman" w:cs="Times New Roman"/>
          <w:b w:val="0"/>
          <w:bCs w:val="0"/>
        </w:rPr>
        <w:t>人社政策</w:t>
      </w:r>
      <w:proofErr w:type="gramEnd"/>
      <w:r>
        <w:rPr>
          <w:rFonts w:ascii="Times New Roman" w:eastAsia="仿宋_GB2312" w:hAnsi="Times New Roman" w:cs="Times New Roman"/>
          <w:b w:val="0"/>
          <w:bCs w:val="0"/>
        </w:rPr>
        <w:t>的传播力、影响力；省自然资源厅制作</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方便快捷！不动产登记现在这样办！</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系列动画宣传片，方便企业和群众了解不动产政策；潍坊市寒亭区组织开展惠</w:t>
      </w:r>
      <w:proofErr w:type="gramStart"/>
      <w:r>
        <w:rPr>
          <w:rFonts w:ascii="Times New Roman" w:eastAsia="仿宋_GB2312" w:hAnsi="Times New Roman" w:cs="Times New Roman"/>
          <w:b w:val="0"/>
          <w:bCs w:val="0"/>
        </w:rPr>
        <w:t>企政策</w:t>
      </w:r>
      <w:proofErr w:type="gramEnd"/>
      <w:r>
        <w:rPr>
          <w:rFonts w:ascii="Times New Roman" w:eastAsia="仿宋_GB2312" w:hAnsi="Times New Roman" w:cs="Times New Roman"/>
          <w:b w:val="0"/>
          <w:bCs w:val="0"/>
        </w:rPr>
        <w:t>宣讲线上直播活动，网友和解读人开展线上互动，解读效果深入人心。</w:t>
      </w:r>
    </w:p>
    <w:p w14:paraId="57968B51" w14:textId="77777777" w:rsidR="00812E9B" w:rsidRDefault="00000000">
      <w:pPr>
        <w:pStyle w:val="3"/>
        <w:spacing w:before="0" w:after="0" w:line="600" w:lineRule="exact"/>
        <w:ind w:firstLineChars="200" w:firstLine="643"/>
        <w:rPr>
          <w:rFonts w:ascii="Times New Roman" w:eastAsia="仿宋_GB2312" w:hAnsi="Times New Roman" w:cs="Times New Roman"/>
        </w:rPr>
      </w:pPr>
      <w:r>
        <w:rPr>
          <w:rFonts w:ascii="Times New Roman" w:eastAsia="仿宋_GB2312" w:hAnsi="Times New Roman" w:cs="Times New Roman"/>
        </w:rPr>
        <w:t>二是坚持问政于民、问需于民，</w:t>
      </w:r>
      <w:proofErr w:type="gramStart"/>
      <w:r>
        <w:rPr>
          <w:rFonts w:ascii="Times New Roman" w:eastAsia="仿宋_GB2312" w:hAnsi="Times New Roman" w:cs="Times New Roman"/>
        </w:rPr>
        <w:t>政民互动</w:t>
      </w:r>
      <w:proofErr w:type="gramEnd"/>
      <w:r>
        <w:rPr>
          <w:rFonts w:ascii="Times New Roman" w:eastAsia="仿宋_GB2312" w:hAnsi="Times New Roman" w:cs="Times New Roman"/>
        </w:rPr>
        <w:t>广度深度不断拓展。</w:t>
      </w:r>
    </w:p>
    <w:p w14:paraId="456B8BB3" w14:textId="77777777" w:rsidR="00812E9B" w:rsidRDefault="00000000">
      <w:pPr>
        <w:spacing w:line="6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政府开放日活动得到全面推广，各级各部门提前策划、统一组织，活动的系统性更强、主题更加鲜明。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年全省开展民生领域</w:t>
      </w: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政府开放日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余次，同比增长</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。聊城市以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公开聊亮、为您开放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为主题开展</w:t>
      </w:r>
      <w:r>
        <w:rPr>
          <w:rFonts w:ascii="Times New Roman" w:eastAsia="仿宋_GB2312" w:hAnsi="Times New Roman" w:cs="Times New Roman"/>
          <w:sz w:val="32"/>
          <w:szCs w:val="32"/>
        </w:rPr>
        <w:t>502</w:t>
      </w:r>
      <w:r>
        <w:rPr>
          <w:rFonts w:ascii="Times New Roman" w:eastAsia="仿宋_GB2312" w:hAnsi="Times New Roman" w:cs="Times New Roman"/>
          <w:sz w:val="32"/>
          <w:szCs w:val="32"/>
        </w:rPr>
        <w:t>场线上线下互动开放日活动，吸引</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万余名市民参加，切实增进了公众的理解和支持。公众参与纳入行政决策的法定程序，重大行政决策事项目录发布、社会代表和利益相关方列席会议活动实现了常态化。</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年省级发布重大行政决策事项</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项，全省举办社会代表和利益相关方列席的会议活动</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余场，群众呼声被有效吸收到政府决策中。烟台市将政府全体会议在政府网站和政务新媒体现场直播，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万余名网友在线观看全部议程，吸纳有效建议</w:t>
      </w:r>
      <w:r>
        <w:rPr>
          <w:rFonts w:ascii="Times New Roman" w:eastAsia="仿宋_GB2312" w:hAnsi="Times New Roman" w:cs="Times New Roman"/>
          <w:sz w:val="32"/>
          <w:szCs w:val="32"/>
        </w:rPr>
        <w:t>160</w:t>
      </w:r>
      <w:r>
        <w:rPr>
          <w:rFonts w:ascii="Times New Roman" w:eastAsia="仿宋_GB2312" w:hAnsi="Times New Roman" w:cs="Times New Roman"/>
          <w:sz w:val="32"/>
          <w:szCs w:val="32"/>
        </w:rPr>
        <w:t>余条。</w:t>
      </w:r>
    </w:p>
    <w:p w14:paraId="49DB33BC" w14:textId="77777777" w:rsidR="00812E9B" w:rsidRDefault="00000000">
      <w:pPr>
        <w:pStyle w:val="3"/>
        <w:spacing w:before="0" w:after="0" w:line="600" w:lineRule="exact"/>
        <w:ind w:firstLineChars="200" w:firstLine="643"/>
        <w:rPr>
          <w:rFonts w:ascii="Times New Roman" w:eastAsia="仿宋_GB2312" w:hAnsi="Times New Roman" w:cs="Times New Roman"/>
        </w:rPr>
      </w:pPr>
      <w:r>
        <w:rPr>
          <w:rFonts w:ascii="Times New Roman" w:eastAsia="仿宋_GB2312" w:hAnsi="Times New Roman" w:cs="Times New Roman"/>
        </w:rPr>
        <w:t>三是坚持服务导向、务实创新，依申请公开规范化水平不断提升。</w:t>
      </w:r>
      <w:r>
        <w:rPr>
          <w:rFonts w:ascii="Times New Roman" w:eastAsia="仿宋_GB2312" w:hAnsi="Times New Roman" w:cs="Times New Roman"/>
          <w:b w:val="0"/>
          <w:bCs w:val="0"/>
        </w:rPr>
        <w:t>2022</w:t>
      </w:r>
      <w:r>
        <w:rPr>
          <w:rFonts w:ascii="Times New Roman" w:eastAsia="仿宋_GB2312" w:hAnsi="Times New Roman" w:cs="Times New Roman"/>
          <w:b w:val="0"/>
          <w:bCs w:val="0"/>
        </w:rPr>
        <w:t>年，全省各级政府和县级以上政府部门共收到政府信息公开申请</w:t>
      </w:r>
      <w:r>
        <w:rPr>
          <w:rFonts w:ascii="Times New Roman" w:eastAsia="仿宋_GB2312" w:hAnsi="Times New Roman" w:cs="Times New Roman"/>
          <w:b w:val="0"/>
          <w:bCs w:val="0"/>
        </w:rPr>
        <w:t>39620</w:t>
      </w:r>
      <w:r>
        <w:rPr>
          <w:rFonts w:ascii="Times New Roman" w:eastAsia="仿宋_GB2312" w:hAnsi="Times New Roman" w:cs="Times New Roman"/>
          <w:b w:val="0"/>
          <w:bCs w:val="0"/>
        </w:rPr>
        <w:t>件，同比增长</w:t>
      </w:r>
      <w:r>
        <w:rPr>
          <w:rFonts w:ascii="Times New Roman" w:eastAsia="仿宋_GB2312" w:hAnsi="Times New Roman" w:cs="Times New Roman"/>
          <w:b w:val="0"/>
          <w:bCs w:val="0"/>
        </w:rPr>
        <w:t>9.7%</w:t>
      </w:r>
      <w:r>
        <w:rPr>
          <w:rFonts w:ascii="Times New Roman" w:eastAsia="仿宋_GB2312" w:hAnsi="Times New Roman" w:cs="Times New Roman"/>
          <w:b w:val="0"/>
          <w:bCs w:val="0"/>
        </w:rPr>
        <w:t>。在申请数量逐年增加情况下，各级各部门严格规范依申请公开办理流程，统一办理文书格式，建立健全有效的协查、会商等工作机制，答复办理规范化、标准化水平得到有效提升。同时，积极创新思路，不断提高服务水平。青岛市建立依申请公开管理系统，针对办理关键时间节点设置</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红黄牌</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提醒功能，提高了答复效率；淄博市张店区灵活运用数字技术，将信息网址以二</w:t>
      </w:r>
      <w:proofErr w:type="gramStart"/>
      <w:r>
        <w:rPr>
          <w:rFonts w:ascii="Times New Roman" w:eastAsia="仿宋_GB2312" w:hAnsi="Times New Roman" w:cs="Times New Roman"/>
          <w:b w:val="0"/>
          <w:bCs w:val="0"/>
        </w:rPr>
        <w:t>维码形式</w:t>
      </w:r>
      <w:proofErr w:type="gramEnd"/>
      <w:r>
        <w:rPr>
          <w:rFonts w:ascii="Times New Roman" w:eastAsia="仿宋_GB2312" w:hAnsi="Times New Roman" w:cs="Times New Roman"/>
          <w:b w:val="0"/>
          <w:bCs w:val="0"/>
        </w:rPr>
        <w:t>呈现在答复书上，极大方便了申请人检索。</w:t>
      </w:r>
    </w:p>
    <w:p w14:paraId="795C87BD" w14:textId="77777777" w:rsidR="00812E9B" w:rsidRDefault="00000000">
      <w:pPr>
        <w:pStyle w:val="3"/>
        <w:spacing w:before="0" w:after="0" w:line="600" w:lineRule="exact"/>
        <w:ind w:firstLineChars="200" w:firstLine="643"/>
        <w:rPr>
          <w:rFonts w:ascii="Times New Roman" w:eastAsia="仿宋_GB2312" w:hAnsi="Times New Roman" w:cs="Times New Roman"/>
        </w:rPr>
      </w:pPr>
      <w:r>
        <w:rPr>
          <w:rFonts w:ascii="Times New Roman" w:eastAsia="仿宋_GB2312" w:hAnsi="Times New Roman" w:cs="Times New Roman"/>
        </w:rPr>
        <w:t>四是坚持问题导向、标准引领，政务公开工作基础不断巩固。</w:t>
      </w:r>
    </w:p>
    <w:p w14:paraId="6DD052B2" w14:textId="77777777" w:rsidR="00812E9B" w:rsidRDefault="00000000">
      <w:pPr>
        <w:spacing w:line="6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进一步优化全省政务公开评估考核工作，实施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日常抽测、季度检查、年度评估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，将问题发现在平时、整改在平时。业务培训进一步深化，各级各部门创新培训方式，丰富培训内容。</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lastRenderedPageBreak/>
        <w:t>全省共举办培训</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余场，累计</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万余人次参加。省政府办公厅在省委党校举办公共企事业单位信息公开专题培训班，推动</w:t>
      </w:r>
      <w:proofErr w:type="gramStart"/>
      <w:r>
        <w:rPr>
          <w:rFonts w:ascii="Times New Roman" w:eastAsia="仿宋_GB2312" w:hAnsi="Times New Roman" w:cs="Times New Roman"/>
          <w:sz w:val="32"/>
          <w:szCs w:val="32"/>
        </w:rPr>
        <w:t>各级行业</w:t>
      </w:r>
      <w:proofErr w:type="gramEnd"/>
      <w:r>
        <w:rPr>
          <w:rFonts w:ascii="Times New Roman" w:eastAsia="仿宋_GB2312" w:hAnsi="Times New Roman" w:cs="Times New Roman"/>
          <w:sz w:val="32"/>
          <w:szCs w:val="32"/>
        </w:rPr>
        <w:t>主管部门和各级政府加快建设信息公开平台，统一集中展示相关公共企事业单位信息；威海市创新打造线上政务公开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一站式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培训学习平台，实现了交互式培训、常态化学习。</w:t>
      </w:r>
    </w:p>
    <w:p w14:paraId="6C016C60" w14:textId="77777777" w:rsidR="00812E9B" w:rsidRDefault="00000000">
      <w:pPr>
        <w:spacing w:line="6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b/>
          <w:bCs/>
          <w:sz w:val="32"/>
          <w:szCs w:val="32"/>
        </w:rPr>
        <w:t>五是</w:t>
      </w:r>
      <w:r>
        <w:rPr>
          <w:rFonts w:ascii="Times New Roman" w:eastAsia="仿宋_GB2312" w:hAnsi="Times New Roman" w:cs="Times New Roman" w:hint="eastAsia"/>
          <w:b/>
          <w:bCs/>
          <w:sz w:val="32"/>
          <w:szCs w:val="32"/>
        </w:rPr>
        <w:t>持续</w:t>
      </w:r>
      <w:r>
        <w:rPr>
          <w:rFonts w:ascii="Times New Roman" w:eastAsia="仿宋_GB2312" w:hAnsi="Times New Roman" w:cs="Times New Roman"/>
          <w:b/>
          <w:bCs/>
          <w:sz w:val="32"/>
          <w:szCs w:val="32"/>
        </w:rPr>
        <w:t>实施重点任务公开承诺事项制度。</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年初，由全省</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个市和</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个省直部门（单位）主要负责同志对年度重点工作向社会</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公开承诺，公布完成时限和责任人，并在《大众日报》登载，接受人民群众的评判、监督。年终，由省政府办公厅对公开承诺完成情况进行考核，推动省直各部门（单位）重点工作落实。</w:t>
      </w:r>
    </w:p>
    <w:p w14:paraId="0DA78681" w14:textId="77777777" w:rsidR="00812E9B" w:rsidRDefault="00000000">
      <w:pPr>
        <w:spacing w:line="6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六是创造性开展全省公共企事业单位评估工作。</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月底前，</w:t>
      </w:r>
      <w:proofErr w:type="gramStart"/>
      <w:r>
        <w:rPr>
          <w:rFonts w:ascii="Times New Roman" w:eastAsia="仿宋_GB2312" w:hAnsi="Times New Roman" w:cs="Times New Roman"/>
          <w:sz w:val="32"/>
          <w:szCs w:val="32"/>
        </w:rPr>
        <w:t>省级行业</w:t>
      </w:r>
      <w:proofErr w:type="gramEnd"/>
      <w:r>
        <w:rPr>
          <w:rFonts w:ascii="Times New Roman" w:eastAsia="仿宋_GB2312" w:hAnsi="Times New Roman" w:cs="Times New Roman"/>
          <w:sz w:val="32"/>
          <w:szCs w:val="32"/>
        </w:rPr>
        <w:t>主管部门和市、县政府分别在本级网站完成了公共企事业单位信息公开平台建设。为确保落实成效，省政府办公厅印发《</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年山东省公共企事业单位信息公开第三方评估工作实施方案》和《</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年山东省公共企事业单位信息公开第三方评估指标体系及说明》，随机抽取</w:t>
      </w:r>
      <w:r>
        <w:rPr>
          <w:rFonts w:ascii="Times New Roman" w:eastAsia="仿宋_GB2312" w:hAnsi="Times New Roman" w:cs="Times New Roman"/>
          <w:sz w:val="32"/>
          <w:szCs w:val="32"/>
        </w:rPr>
        <w:t>203</w:t>
      </w:r>
      <w:r>
        <w:rPr>
          <w:rFonts w:ascii="Times New Roman" w:eastAsia="仿宋_GB2312" w:hAnsi="Times New Roman" w:cs="Times New Roman"/>
          <w:sz w:val="32"/>
          <w:szCs w:val="32"/>
        </w:rPr>
        <w:t>所学校，</w:t>
      </w:r>
      <w:r>
        <w:rPr>
          <w:rFonts w:ascii="Times New Roman" w:eastAsia="仿宋_GB2312" w:hAnsi="Times New Roman" w:cs="Times New Roman"/>
          <w:sz w:val="32"/>
          <w:szCs w:val="32"/>
        </w:rPr>
        <w:t>349</w:t>
      </w:r>
      <w:r>
        <w:rPr>
          <w:rFonts w:ascii="Times New Roman" w:eastAsia="仿宋_GB2312" w:hAnsi="Times New Roman" w:cs="Times New Roman"/>
          <w:sz w:val="32"/>
          <w:szCs w:val="32"/>
        </w:rPr>
        <w:t>家医院，</w:t>
      </w:r>
      <w:r>
        <w:rPr>
          <w:rFonts w:ascii="Times New Roman" w:eastAsia="仿宋_GB2312" w:hAnsi="Times New Roman" w:cs="Times New Roman"/>
          <w:sz w:val="32"/>
          <w:szCs w:val="32"/>
        </w:rPr>
        <w:t>64</w:t>
      </w:r>
      <w:r>
        <w:rPr>
          <w:rFonts w:ascii="Times New Roman" w:eastAsia="仿宋_GB2312" w:hAnsi="Times New Roman" w:cs="Times New Roman"/>
          <w:sz w:val="32"/>
          <w:szCs w:val="32"/>
        </w:rPr>
        <w:t>家供电、供水、供气、供热单位</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家公共交通企业，开展线上、线下信息公开第三方评估工作，在全省教育、卫生健康、供水、供电、供气、供热、公共交通等领域营造了良好的信息公开氛围。</w:t>
      </w:r>
    </w:p>
    <w:p w14:paraId="6EDFBE6E" w14:textId="77777777" w:rsidR="00812E9B" w:rsidRDefault="00000000">
      <w:pPr>
        <w:pStyle w:val="2"/>
        <w:spacing w:before="0" w:after="0" w:line="600" w:lineRule="exact"/>
        <w:ind w:left="643"/>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（五）政府信息公开年度报告数据统计需要说明的事项</w:t>
      </w:r>
    </w:p>
    <w:p w14:paraId="18996B50" w14:textId="77777777" w:rsidR="00812E9B" w:rsidRDefault="00000000">
      <w:pPr>
        <w:pStyle w:val="ab"/>
        <w:shd w:val="clear" w:color="auto" w:fill="FFFFFF"/>
        <w:spacing w:beforeAutospacing="0" w:afterAutospacing="0" w:line="600" w:lineRule="exact"/>
        <w:ind w:firstLineChars="200" w:firstLine="640"/>
        <w:jc w:val="both"/>
        <w:rPr>
          <w:rFonts w:ascii="Times New Roman" w:eastAsia="仿宋_GB2312" w:hAnsi="Times New Roman"/>
          <w:kern w:val="2"/>
          <w:sz w:val="32"/>
          <w:szCs w:val="32"/>
        </w:rPr>
      </w:pPr>
      <w:r>
        <w:rPr>
          <w:rFonts w:ascii="Times New Roman" w:eastAsia="仿宋_GB2312" w:hAnsi="Times New Roman"/>
          <w:kern w:val="2"/>
          <w:sz w:val="32"/>
          <w:szCs w:val="32"/>
        </w:rPr>
        <w:t>1.</w:t>
      </w:r>
      <w:r>
        <w:rPr>
          <w:rFonts w:ascii="Times New Roman" w:eastAsia="仿宋_GB2312" w:hAnsi="Times New Roman"/>
          <w:kern w:val="2"/>
          <w:sz w:val="32"/>
          <w:szCs w:val="32"/>
        </w:rPr>
        <w:t>本年度报告中所列数据统计期限从</w:t>
      </w:r>
      <w:r>
        <w:rPr>
          <w:rFonts w:ascii="Times New Roman" w:eastAsia="仿宋_GB2312" w:hAnsi="Times New Roman"/>
          <w:kern w:val="2"/>
          <w:sz w:val="32"/>
          <w:szCs w:val="32"/>
        </w:rPr>
        <w:t>2022</w:t>
      </w:r>
      <w:r>
        <w:rPr>
          <w:rFonts w:ascii="Times New Roman" w:eastAsia="仿宋_GB2312" w:hAnsi="Times New Roman"/>
          <w:kern w:val="2"/>
          <w:sz w:val="32"/>
          <w:szCs w:val="32"/>
        </w:rPr>
        <w:t>年</w:t>
      </w:r>
      <w:r>
        <w:rPr>
          <w:rFonts w:ascii="Times New Roman" w:eastAsia="仿宋_GB2312" w:hAnsi="Times New Roman"/>
          <w:kern w:val="2"/>
          <w:sz w:val="32"/>
          <w:szCs w:val="32"/>
        </w:rPr>
        <w:t>1</w:t>
      </w:r>
      <w:r>
        <w:rPr>
          <w:rFonts w:ascii="Times New Roman" w:eastAsia="仿宋_GB2312" w:hAnsi="Times New Roman"/>
          <w:kern w:val="2"/>
          <w:sz w:val="32"/>
          <w:szCs w:val="32"/>
        </w:rPr>
        <w:t>月</w:t>
      </w:r>
      <w:r>
        <w:rPr>
          <w:rFonts w:ascii="Times New Roman" w:eastAsia="仿宋_GB2312" w:hAnsi="Times New Roman"/>
          <w:kern w:val="2"/>
          <w:sz w:val="32"/>
          <w:szCs w:val="32"/>
        </w:rPr>
        <w:t>1</w:t>
      </w:r>
      <w:r>
        <w:rPr>
          <w:rFonts w:ascii="Times New Roman" w:eastAsia="仿宋_GB2312" w:hAnsi="Times New Roman"/>
          <w:kern w:val="2"/>
          <w:sz w:val="32"/>
          <w:szCs w:val="32"/>
        </w:rPr>
        <w:t>日到</w:t>
      </w:r>
      <w:r>
        <w:rPr>
          <w:rFonts w:ascii="Times New Roman" w:eastAsia="仿宋_GB2312" w:hAnsi="Times New Roman"/>
          <w:kern w:val="2"/>
          <w:sz w:val="32"/>
          <w:szCs w:val="32"/>
        </w:rPr>
        <w:t>12</w:t>
      </w:r>
      <w:r>
        <w:rPr>
          <w:rFonts w:ascii="Times New Roman" w:eastAsia="仿宋_GB2312" w:hAnsi="Times New Roman"/>
          <w:kern w:val="2"/>
          <w:sz w:val="32"/>
          <w:szCs w:val="32"/>
        </w:rPr>
        <w:t>月</w:t>
      </w:r>
      <w:r>
        <w:rPr>
          <w:rFonts w:ascii="Times New Roman" w:eastAsia="仿宋_GB2312" w:hAnsi="Times New Roman"/>
          <w:kern w:val="2"/>
          <w:sz w:val="32"/>
          <w:szCs w:val="32"/>
        </w:rPr>
        <w:t>31</w:t>
      </w:r>
      <w:r>
        <w:rPr>
          <w:rFonts w:ascii="Times New Roman" w:eastAsia="仿宋_GB2312" w:hAnsi="Times New Roman"/>
          <w:kern w:val="2"/>
          <w:sz w:val="32"/>
          <w:szCs w:val="32"/>
        </w:rPr>
        <w:t>日止。</w:t>
      </w:r>
    </w:p>
    <w:p w14:paraId="50B69E86" w14:textId="77777777" w:rsidR="00812E9B" w:rsidRDefault="00000000">
      <w:pPr>
        <w:pStyle w:val="ab"/>
        <w:shd w:val="clear" w:color="auto" w:fill="FFFFFF"/>
        <w:spacing w:beforeAutospacing="0" w:afterAutospacing="0" w:line="600" w:lineRule="exact"/>
        <w:ind w:firstLineChars="200" w:firstLine="640"/>
        <w:jc w:val="both"/>
        <w:rPr>
          <w:rFonts w:ascii="Times New Roman" w:eastAsia="仿宋_GB2312" w:hAnsi="Times New Roman"/>
          <w:kern w:val="2"/>
          <w:sz w:val="32"/>
          <w:szCs w:val="32"/>
        </w:rPr>
      </w:pPr>
      <w:r>
        <w:rPr>
          <w:rFonts w:ascii="Times New Roman" w:eastAsia="仿宋_GB2312" w:hAnsi="Times New Roman"/>
          <w:kern w:val="2"/>
          <w:sz w:val="32"/>
          <w:szCs w:val="32"/>
        </w:rPr>
        <w:lastRenderedPageBreak/>
        <w:t>2.</w:t>
      </w:r>
      <w:r>
        <w:rPr>
          <w:rFonts w:ascii="Times New Roman" w:eastAsia="仿宋_GB2312" w:hAnsi="Times New Roman"/>
          <w:kern w:val="2"/>
          <w:sz w:val="32"/>
          <w:szCs w:val="32"/>
        </w:rPr>
        <w:t>行政许可数量、行政处罚和行政强制数量，包括已公开和</w:t>
      </w:r>
      <w:proofErr w:type="gramStart"/>
      <w:r>
        <w:rPr>
          <w:rFonts w:ascii="Times New Roman" w:eastAsia="仿宋_GB2312" w:hAnsi="Times New Roman"/>
          <w:kern w:val="2"/>
          <w:sz w:val="32"/>
          <w:szCs w:val="32"/>
        </w:rPr>
        <w:t>依法未</w:t>
      </w:r>
      <w:proofErr w:type="gramEnd"/>
      <w:r>
        <w:rPr>
          <w:rFonts w:ascii="Times New Roman" w:eastAsia="仿宋_GB2312" w:hAnsi="Times New Roman"/>
          <w:kern w:val="2"/>
          <w:sz w:val="32"/>
          <w:szCs w:val="32"/>
        </w:rPr>
        <w:t>公开的全部处理决定。</w:t>
      </w:r>
    </w:p>
    <w:p w14:paraId="08EC58F1" w14:textId="77777777" w:rsidR="00812E9B" w:rsidRDefault="00000000">
      <w:pPr>
        <w:pStyle w:val="ab"/>
        <w:shd w:val="clear" w:color="auto" w:fill="FFFFFF"/>
        <w:spacing w:beforeAutospacing="0" w:afterAutospacing="0" w:line="600" w:lineRule="exact"/>
        <w:ind w:firstLineChars="200" w:firstLine="640"/>
        <w:jc w:val="both"/>
        <w:rPr>
          <w:rFonts w:ascii="Times New Roman" w:eastAsia="仿宋_GB2312" w:hAnsi="Times New Roman"/>
          <w:kern w:val="2"/>
          <w:sz w:val="32"/>
          <w:szCs w:val="32"/>
        </w:rPr>
      </w:pPr>
      <w:r>
        <w:rPr>
          <w:rFonts w:ascii="Times New Roman" w:eastAsia="仿宋_GB2312" w:hAnsi="Times New Roman"/>
          <w:kern w:val="2"/>
          <w:sz w:val="32"/>
          <w:szCs w:val="32"/>
        </w:rPr>
        <w:t>3.</w:t>
      </w:r>
      <w:r>
        <w:rPr>
          <w:rFonts w:ascii="Times New Roman" w:eastAsia="仿宋_GB2312" w:hAnsi="Times New Roman"/>
          <w:kern w:val="2"/>
          <w:sz w:val="32"/>
          <w:szCs w:val="32"/>
        </w:rPr>
        <w:t>行政复议机关作为共同被告的行政诉讼案件，只计算</w:t>
      </w:r>
      <w:proofErr w:type="gramStart"/>
      <w:r>
        <w:rPr>
          <w:rFonts w:ascii="Times New Roman" w:eastAsia="仿宋_GB2312" w:hAnsi="Times New Roman"/>
          <w:kern w:val="2"/>
          <w:sz w:val="32"/>
          <w:szCs w:val="32"/>
        </w:rPr>
        <w:t>原行为</w:t>
      </w:r>
      <w:proofErr w:type="gramEnd"/>
      <w:r>
        <w:rPr>
          <w:rFonts w:ascii="Times New Roman" w:eastAsia="仿宋_GB2312" w:hAnsi="Times New Roman"/>
          <w:kern w:val="2"/>
          <w:sz w:val="32"/>
          <w:szCs w:val="32"/>
        </w:rPr>
        <w:t>主体的案件数量，不计算行政复议机关的案件数量。</w:t>
      </w:r>
    </w:p>
    <w:p w14:paraId="6E1CDC5B" w14:textId="77777777" w:rsidR="00812E9B" w:rsidRDefault="00812E9B">
      <w:pPr>
        <w:rPr>
          <w:rFonts w:ascii="Times New Roman" w:eastAsia="仿宋_GB2312" w:hAnsi="Times New Roman" w:cs="Times New Roman"/>
        </w:rPr>
      </w:pPr>
    </w:p>
    <w:sectPr w:rsidR="00812E9B">
      <w:footerReference w:type="default" r:id="rId10"/>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A356" w14:textId="77777777" w:rsidR="00377A3B" w:rsidRDefault="00377A3B">
      <w:r>
        <w:separator/>
      </w:r>
    </w:p>
  </w:endnote>
  <w:endnote w:type="continuationSeparator" w:id="0">
    <w:p w14:paraId="60FE56CA" w14:textId="77777777" w:rsidR="00377A3B" w:rsidRDefault="0037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161972"/>
    </w:sdtPr>
    <w:sdtEndPr>
      <w:rPr>
        <w:rFonts w:ascii="宋体" w:eastAsia="宋体" w:hAnsi="宋体"/>
        <w:sz w:val="28"/>
        <w:szCs w:val="28"/>
      </w:rPr>
    </w:sdtEndPr>
    <w:sdtContent>
      <w:p w14:paraId="68296A37" w14:textId="77777777" w:rsidR="00812E9B" w:rsidRDefault="00000000">
        <w:pPr>
          <w:pStyle w:val="a7"/>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7AC7" w14:textId="77777777" w:rsidR="00377A3B" w:rsidRDefault="00377A3B">
      <w:r>
        <w:separator/>
      </w:r>
    </w:p>
  </w:footnote>
  <w:footnote w:type="continuationSeparator" w:id="0">
    <w:p w14:paraId="63DEC0FB" w14:textId="77777777" w:rsidR="00377A3B" w:rsidRDefault="00377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14E"/>
    <w:multiLevelType w:val="multilevel"/>
    <w:tmpl w:val="0E16214E"/>
    <w:lvl w:ilvl="0">
      <w:start w:val="1"/>
      <w:numFmt w:val="chineseCountingThousand"/>
      <w:suff w:val="nothing"/>
      <w:lvlText w:val="%1、"/>
      <w:lvlJc w:val="left"/>
      <w:pPr>
        <w:ind w:left="420" w:hanging="420"/>
      </w:pPr>
      <w:rPr>
        <w:rFonts w:hint="eastAsia"/>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1" w15:restartNumberingAfterBreak="0">
    <w:nsid w:val="4AE85E4D"/>
    <w:multiLevelType w:val="multilevel"/>
    <w:tmpl w:val="4AE85E4D"/>
    <w:lvl w:ilvl="0">
      <w:start w:val="1"/>
      <w:numFmt w:val="chineseCountingThousand"/>
      <w:suff w:val="nothing"/>
      <w:lvlText w:val="（%1）"/>
      <w:lvlJc w:val="left"/>
      <w:pPr>
        <w:ind w:left="420" w:hanging="420"/>
      </w:pPr>
      <w:rPr>
        <w:rFonts w:hint="eastAsia"/>
        <w:lang w:val="en-US"/>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2" w15:restartNumberingAfterBreak="0">
    <w:nsid w:val="7BD436E3"/>
    <w:multiLevelType w:val="multilevel"/>
    <w:tmpl w:val="7BD436E3"/>
    <w:lvl w:ilvl="0">
      <w:start w:val="1"/>
      <w:numFmt w:val="chineseCountingThousand"/>
      <w:suff w:val="nothing"/>
      <w:lvlText w:val="（%1）"/>
      <w:lvlJc w:val="left"/>
      <w:pPr>
        <w:ind w:left="420" w:hanging="420"/>
      </w:pPr>
      <w:rPr>
        <w:rFonts w:hint="eastAsia"/>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num w:numId="1" w16cid:durableId="356279660">
    <w:abstractNumId w:val="0"/>
  </w:num>
  <w:num w:numId="2" w16cid:durableId="874973132">
    <w:abstractNumId w:val="1"/>
  </w:num>
  <w:num w:numId="3" w16cid:durableId="1030958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9E"/>
    <w:rsid w:val="0000135B"/>
    <w:rsid w:val="0000595B"/>
    <w:rsid w:val="00007D0A"/>
    <w:rsid w:val="00011B51"/>
    <w:rsid w:val="0001341A"/>
    <w:rsid w:val="000325DD"/>
    <w:rsid w:val="0004459B"/>
    <w:rsid w:val="000571DE"/>
    <w:rsid w:val="0006747A"/>
    <w:rsid w:val="00071820"/>
    <w:rsid w:val="000804E3"/>
    <w:rsid w:val="000877AA"/>
    <w:rsid w:val="00087B72"/>
    <w:rsid w:val="000901E5"/>
    <w:rsid w:val="00096085"/>
    <w:rsid w:val="000A044A"/>
    <w:rsid w:val="000A6950"/>
    <w:rsid w:val="000B4DBA"/>
    <w:rsid w:val="000B6D9F"/>
    <w:rsid w:val="000C1179"/>
    <w:rsid w:val="000C346C"/>
    <w:rsid w:val="000C4EB1"/>
    <w:rsid w:val="000D63A8"/>
    <w:rsid w:val="000F6CEF"/>
    <w:rsid w:val="000F7114"/>
    <w:rsid w:val="001007C1"/>
    <w:rsid w:val="00104AF2"/>
    <w:rsid w:val="001104ED"/>
    <w:rsid w:val="00113399"/>
    <w:rsid w:val="001151F7"/>
    <w:rsid w:val="00120B37"/>
    <w:rsid w:val="0012184A"/>
    <w:rsid w:val="00132ACC"/>
    <w:rsid w:val="00134DC3"/>
    <w:rsid w:val="00136321"/>
    <w:rsid w:val="00136BA3"/>
    <w:rsid w:val="001372E4"/>
    <w:rsid w:val="0014097B"/>
    <w:rsid w:val="00142D1E"/>
    <w:rsid w:val="0014524E"/>
    <w:rsid w:val="00150411"/>
    <w:rsid w:val="001521F2"/>
    <w:rsid w:val="00157AB2"/>
    <w:rsid w:val="001622EF"/>
    <w:rsid w:val="001623E9"/>
    <w:rsid w:val="00184BA3"/>
    <w:rsid w:val="001929A6"/>
    <w:rsid w:val="0019753D"/>
    <w:rsid w:val="001A64F9"/>
    <w:rsid w:val="001A756D"/>
    <w:rsid w:val="001C6E81"/>
    <w:rsid w:val="001C7D7E"/>
    <w:rsid w:val="001D0893"/>
    <w:rsid w:val="001D2711"/>
    <w:rsid w:val="001D348A"/>
    <w:rsid w:val="001E3117"/>
    <w:rsid w:val="001E3BE2"/>
    <w:rsid w:val="001F0E01"/>
    <w:rsid w:val="001F4891"/>
    <w:rsid w:val="001F758B"/>
    <w:rsid w:val="00202199"/>
    <w:rsid w:val="002045CF"/>
    <w:rsid w:val="002064A3"/>
    <w:rsid w:val="00215AC3"/>
    <w:rsid w:val="00216C00"/>
    <w:rsid w:val="0022432D"/>
    <w:rsid w:val="0022496B"/>
    <w:rsid w:val="00231B0F"/>
    <w:rsid w:val="00232F81"/>
    <w:rsid w:val="00233FAB"/>
    <w:rsid w:val="002460D4"/>
    <w:rsid w:val="002629EC"/>
    <w:rsid w:val="00264E6B"/>
    <w:rsid w:val="002650B4"/>
    <w:rsid w:val="00282437"/>
    <w:rsid w:val="00287744"/>
    <w:rsid w:val="0029288C"/>
    <w:rsid w:val="002929B0"/>
    <w:rsid w:val="002A42BF"/>
    <w:rsid w:val="002A53D7"/>
    <w:rsid w:val="002B0BB9"/>
    <w:rsid w:val="002D27EE"/>
    <w:rsid w:val="002E18F2"/>
    <w:rsid w:val="002E7548"/>
    <w:rsid w:val="002F09C7"/>
    <w:rsid w:val="002F6052"/>
    <w:rsid w:val="00300601"/>
    <w:rsid w:val="00306B52"/>
    <w:rsid w:val="00312F51"/>
    <w:rsid w:val="00313583"/>
    <w:rsid w:val="00317230"/>
    <w:rsid w:val="00321CE7"/>
    <w:rsid w:val="00330AA2"/>
    <w:rsid w:val="00331BF7"/>
    <w:rsid w:val="0033314F"/>
    <w:rsid w:val="0033398A"/>
    <w:rsid w:val="003468C1"/>
    <w:rsid w:val="003478F9"/>
    <w:rsid w:val="00351058"/>
    <w:rsid w:val="003513F9"/>
    <w:rsid w:val="00354177"/>
    <w:rsid w:val="00363779"/>
    <w:rsid w:val="00363848"/>
    <w:rsid w:val="003645E5"/>
    <w:rsid w:val="003757D9"/>
    <w:rsid w:val="00377A3B"/>
    <w:rsid w:val="003847E3"/>
    <w:rsid w:val="003917AB"/>
    <w:rsid w:val="0039308E"/>
    <w:rsid w:val="003B0159"/>
    <w:rsid w:val="003B4254"/>
    <w:rsid w:val="003C11F2"/>
    <w:rsid w:val="003C66B3"/>
    <w:rsid w:val="003D6706"/>
    <w:rsid w:val="003E2534"/>
    <w:rsid w:val="003E310E"/>
    <w:rsid w:val="003E55B8"/>
    <w:rsid w:val="003E6966"/>
    <w:rsid w:val="003F552E"/>
    <w:rsid w:val="003F6A0B"/>
    <w:rsid w:val="003F75B8"/>
    <w:rsid w:val="00405281"/>
    <w:rsid w:val="004126D4"/>
    <w:rsid w:val="00412E39"/>
    <w:rsid w:val="00416676"/>
    <w:rsid w:val="00417449"/>
    <w:rsid w:val="00420009"/>
    <w:rsid w:val="00425D61"/>
    <w:rsid w:val="00426064"/>
    <w:rsid w:val="004311E6"/>
    <w:rsid w:val="00431EC9"/>
    <w:rsid w:val="00432FB7"/>
    <w:rsid w:val="0043572A"/>
    <w:rsid w:val="00441A05"/>
    <w:rsid w:val="004534BC"/>
    <w:rsid w:val="00453B9E"/>
    <w:rsid w:val="00462A6E"/>
    <w:rsid w:val="00462BED"/>
    <w:rsid w:val="0046674E"/>
    <w:rsid w:val="004679C6"/>
    <w:rsid w:val="00477243"/>
    <w:rsid w:val="00493626"/>
    <w:rsid w:val="0049437B"/>
    <w:rsid w:val="00497498"/>
    <w:rsid w:val="004A22EB"/>
    <w:rsid w:val="004B2BAB"/>
    <w:rsid w:val="004B4128"/>
    <w:rsid w:val="004D21A2"/>
    <w:rsid w:val="004D29AB"/>
    <w:rsid w:val="004D48A1"/>
    <w:rsid w:val="004D6B9C"/>
    <w:rsid w:val="004F151B"/>
    <w:rsid w:val="004F2603"/>
    <w:rsid w:val="004F3F18"/>
    <w:rsid w:val="004F50FF"/>
    <w:rsid w:val="005040A0"/>
    <w:rsid w:val="005115C0"/>
    <w:rsid w:val="00520FC6"/>
    <w:rsid w:val="0052491A"/>
    <w:rsid w:val="005257BC"/>
    <w:rsid w:val="005279D5"/>
    <w:rsid w:val="00531F7E"/>
    <w:rsid w:val="00547D95"/>
    <w:rsid w:val="0055157F"/>
    <w:rsid w:val="00562A05"/>
    <w:rsid w:val="00564DF8"/>
    <w:rsid w:val="00566EC6"/>
    <w:rsid w:val="00570289"/>
    <w:rsid w:val="00570EC5"/>
    <w:rsid w:val="005851CF"/>
    <w:rsid w:val="005930A0"/>
    <w:rsid w:val="005951E3"/>
    <w:rsid w:val="00597E1E"/>
    <w:rsid w:val="005A7492"/>
    <w:rsid w:val="005B7EBA"/>
    <w:rsid w:val="005D1CC2"/>
    <w:rsid w:val="005E1642"/>
    <w:rsid w:val="005E69CA"/>
    <w:rsid w:val="005F1CAE"/>
    <w:rsid w:val="00605AD2"/>
    <w:rsid w:val="00606355"/>
    <w:rsid w:val="006103E3"/>
    <w:rsid w:val="00611563"/>
    <w:rsid w:val="00616BCB"/>
    <w:rsid w:val="0062092A"/>
    <w:rsid w:val="0062649B"/>
    <w:rsid w:val="00633079"/>
    <w:rsid w:val="006351E2"/>
    <w:rsid w:val="00643CDF"/>
    <w:rsid w:val="00647532"/>
    <w:rsid w:val="00650F3A"/>
    <w:rsid w:val="00650FDD"/>
    <w:rsid w:val="006519AD"/>
    <w:rsid w:val="00656050"/>
    <w:rsid w:val="0065652A"/>
    <w:rsid w:val="00660711"/>
    <w:rsid w:val="00662946"/>
    <w:rsid w:val="00664E0E"/>
    <w:rsid w:val="00671E2B"/>
    <w:rsid w:val="00674178"/>
    <w:rsid w:val="00684668"/>
    <w:rsid w:val="006958B7"/>
    <w:rsid w:val="006A1862"/>
    <w:rsid w:val="006A2519"/>
    <w:rsid w:val="006A48A3"/>
    <w:rsid w:val="006B04C0"/>
    <w:rsid w:val="006F0645"/>
    <w:rsid w:val="00701302"/>
    <w:rsid w:val="00710CB2"/>
    <w:rsid w:val="0071255D"/>
    <w:rsid w:val="00712EC6"/>
    <w:rsid w:val="007144FF"/>
    <w:rsid w:val="00714A77"/>
    <w:rsid w:val="0071648C"/>
    <w:rsid w:val="00721CF7"/>
    <w:rsid w:val="0072206F"/>
    <w:rsid w:val="007314DC"/>
    <w:rsid w:val="007332E7"/>
    <w:rsid w:val="007551D7"/>
    <w:rsid w:val="007575CD"/>
    <w:rsid w:val="0076001A"/>
    <w:rsid w:val="00771713"/>
    <w:rsid w:val="00781DAF"/>
    <w:rsid w:val="007865F7"/>
    <w:rsid w:val="00790B86"/>
    <w:rsid w:val="0079590B"/>
    <w:rsid w:val="007A4E06"/>
    <w:rsid w:val="007B4547"/>
    <w:rsid w:val="007B50F2"/>
    <w:rsid w:val="007B7DB4"/>
    <w:rsid w:val="007D00E1"/>
    <w:rsid w:val="007E3A4B"/>
    <w:rsid w:val="007F56AB"/>
    <w:rsid w:val="00802829"/>
    <w:rsid w:val="00811711"/>
    <w:rsid w:val="00812E9B"/>
    <w:rsid w:val="00814B4F"/>
    <w:rsid w:val="00815B06"/>
    <w:rsid w:val="00816375"/>
    <w:rsid w:val="00823936"/>
    <w:rsid w:val="00825965"/>
    <w:rsid w:val="0083148F"/>
    <w:rsid w:val="00844596"/>
    <w:rsid w:val="00846A7A"/>
    <w:rsid w:val="00846F86"/>
    <w:rsid w:val="008500F7"/>
    <w:rsid w:val="0085435E"/>
    <w:rsid w:val="00856EF1"/>
    <w:rsid w:val="00861BE4"/>
    <w:rsid w:val="0086745D"/>
    <w:rsid w:val="00867655"/>
    <w:rsid w:val="0087137A"/>
    <w:rsid w:val="0087350F"/>
    <w:rsid w:val="00881C6B"/>
    <w:rsid w:val="008876B8"/>
    <w:rsid w:val="008945D1"/>
    <w:rsid w:val="008A430A"/>
    <w:rsid w:val="008D4E52"/>
    <w:rsid w:val="008E00F6"/>
    <w:rsid w:val="008E6D23"/>
    <w:rsid w:val="008E7735"/>
    <w:rsid w:val="00900271"/>
    <w:rsid w:val="00900CA8"/>
    <w:rsid w:val="00901D69"/>
    <w:rsid w:val="00903DAA"/>
    <w:rsid w:val="009040FC"/>
    <w:rsid w:val="00911812"/>
    <w:rsid w:val="00914208"/>
    <w:rsid w:val="00921523"/>
    <w:rsid w:val="00927810"/>
    <w:rsid w:val="00931700"/>
    <w:rsid w:val="00944939"/>
    <w:rsid w:val="00944EC4"/>
    <w:rsid w:val="00957693"/>
    <w:rsid w:val="009627F5"/>
    <w:rsid w:val="00976163"/>
    <w:rsid w:val="0098131C"/>
    <w:rsid w:val="00982BDF"/>
    <w:rsid w:val="00985338"/>
    <w:rsid w:val="0099447D"/>
    <w:rsid w:val="00995E80"/>
    <w:rsid w:val="009A081E"/>
    <w:rsid w:val="009A3F0F"/>
    <w:rsid w:val="009A426A"/>
    <w:rsid w:val="009B7FAD"/>
    <w:rsid w:val="009F511B"/>
    <w:rsid w:val="009F5263"/>
    <w:rsid w:val="009F5536"/>
    <w:rsid w:val="009F7EEB"/>
    <w:rsid w:val="00A00EEC"/>
    <w:rsid w:val="00A01D8E"/>
    <w:rsid w:val="00A16FEA"/>
    <w:rsid w:val="00A17B51"/>
    <w:rsid w:val="00A20F1C"/>
    <w:rsid w:val="00A250BC"/>
    <w:rsid w:val="00A27593"/>
    <w:rsid w:val="00A3194B"/>
    <w:rsid w:val="00A37669"/>
    <w:rsid w:val="00A40B2F"/>
    <w:rsid w:val="00A42F2B"/>
    <w:rsid w:val="00A455E8"/>
    <w:rsid w:val="00A52519"/>
    <w:rsid w:val="00A56C46"/>
    <w:rsid w:val="00A67A6E"/>
    <w:rsid w:val="00A7094A"/>
    <w:rsid w:val="00A76DB0"/>
    <w:rsid w:val="00A9257F"/>
    <w:rsid w:val="00AA440A"/>
    <w:rsid w:val="00AA5E70"/>
    <w:rsid w:val="00AA6A94"/>
    <w:rsid w:val="00AA7A3A"/>
    <w:rsid w:val="00AC16F1"/>
    <w:rsid w:val="00AC2AE3"/>
    <w:rsid w:val="00AD1902"/>
    <w:rsid w:val="00AE5A05"/>
    <w:rsid w:val="00AF358F"/>
    <w:rsid w:val="00AF3BA3"/>
    <w:rsid w:val="00AF5720"/>
    <w:rsid w:val="00B06A79"/>
    <w:rsid w:val="00B13364"/>
    <w:rsid w:val="00B22A95"/>
    <w:rsid w:val="00B25EB4"/>
    <w:rsid w:val="00B365C7"/>
    <w:rsid w:val="00B44F11"/>
    <w:rsid w:val="00B45E2A"/>
    <w:rsid w:val="00B46F0B"/>
    <w:rsid w:val="00B520F1"/>
    <w:rsid w:val="00B71F95"/>
    <w:rsid w:val="00B81BB9"/>
    <w:rsid w:val="00B86289"/>
    <w:rsid w:val="00B87926"/>
    <w:rsid w:val="00B92B44"/>
    <w:rsid w:val="00BA6504"/>
    <w:rsid w:val="00BA7E7C"/>
    <w:rsid w:val="00BB14BC"/>
    <w:rsid w:val="00BB1969"/>
    <w:rsid w:val="00BB1FEA"/>
    <w:rsid w:val="00BB20DD"/>
    <w:rsid w:val="00BB5CF1"/>
    <w:rsid w:val="00BB7848"/>
    <w:rsid w:val="00BC36B1"/>
    <w:rsid w:val="00BD12C4"/>
    <w:rsid w:val="00BD3735"/>
    <w:rsid w:val="00BD5629"/>
    <w:rsid w:val="00BD6118"/>
    <w:rsid w:val="00BE2E84"/>
    <w:rsid w:val="00BE4D8F"/>
    <w:rsid w:val="00BF25C6"/>
    <w:rsid w:val="00BF441F"/>
    <w:rsid w:val="00BF6E3D"/>
    <w:rsid w:val="00C01DDC"/>
    <w:rsid w:val="00C0626A"/>
    <w:rsid w:val="00C07770"/>
    <w:rsid w:val="00C150F1"/>
    <w:rsid w:val="00C1778B"/>
    <w:rsid w:val="00C2037F"/>
    <w:rsid w:val="00C24D0A"/>
    <w:rsid w:val="00C2633B"/>
    <w:rsid w:val="00C3155C"/>
    <w:rsid w:val="00C36690"/>
    <w:rsid w:val="00C406B0"/>
    <w:rsid w:val="00C45391"/>
    <w:rsid w:val="00C750BF"/>
    <w:rsid w:val="00C75BEC"/>
    <w:rsid w:val="00C834B3"/>
    <w:rsid w:val="00C854E9"/>
    <w:rsid w:val="00C87738"/>
    <w:rsid w:val="00C96AC7"/>
    <w:rsid w:val="00C978DE"/>
    <w:rsid w:val="00CA2392"/>
    <w:rsid w:val="00CA2FEF"/>
    <w:rsid w:val="00CC5C64"/>
    <w:rsid w:val="00CD6735"/>
    <w:rsid w:val="00CE0455"/>
    <w:rsid w:val="00CE427D"/>
    <w:rsid w:val="00CF289D"/>
    <w:rsid w:val="00CF3072"/>
    <w:rsid w:val="00D04EFA"/>
    <w:rsid w:val="00D05E61"/>
    <w:rsid w:val="00D130BC"/>
    <w:rsid w:val="00D151B2"/>
    <w:rsid w:val="00D1703F"/>
    <w:rsid w:val="00D26D23"/>
    <w:rsid w:val="00D30888"/>
    <w:rsid w:val="00D30B96"/>
    <w:rsid w:val="00D344CE"/>
    <w:rsid w:val="00D377AA"/>
    <w:rsid w:val="00D42190"/>
    <w:rsid w:val="00D67918"/>
    <w:rsid w:val="00D75E9B"/>
    <w:rsid w:val="00D8712A"/>
    <w:rsid w:val="00D96A6A"/>
    <w:rsid w:val="00DC169A"/>
    <w:rsid w:val="00DC1EF3"/>
    <w:rsid w:val="00DD5322"/>
    <w:rsid w:val="00DE0EA9"/>
    <w:rsid w:val="00DE382C"/>
    <w:rsid w:val="00DE3EBD"/>
    <w:rsid w:val="00DF5789"/>
    <w:rsid w:val="00E061DC"/>
    <w:rsid w:val="00E119D8"/>
    <w:rsid w:val="00E14848"/>
    <w:rsid w:val="00E16DAB"/>
    <w:rsid w:val="00E277B7"/>
    <w:rsid w:val="00E30290"/>
    <w:rsid w:val="00E30E8F"/>
    <w:rsid w:val="00E31233"/>
    <w:rsid w:val="00E3290E"/>
    <w:rsid w:val="00E34EFB"/>
    <w:rsid w:val="00E43D71"/>
    <w:rsid w:val="00E5144E"/>
    <w:rsid w:val="00E53B86"/>
    <w:rsid w:val="00E5529C"/>
    <w:rsid w:val="00E5608C"/>
    <w:rsid w:val="00E61046"/>
    <w:rsid w:val="00E71104"/>
    <w:rsid w:val="00E73EFD"/>
    <w:rsid w:val="00E76944"/>
    <w:rsid w:val="00E90C20"/>
    <w:rsid w:val="00EA3992"/>
    <w:rsid w:val="00EA5411"/>
    <w:rsid w:val="00EA7832"/>
    <w:rsid w:val="00EC0C3F"/>
    <w:rsid w:val="00EC2C1E"/>
    <w:rsid w:val="00ED3E39"/>
    <w:rsid w:val="00EF0297"/>
    <w:rsid w:val="00EF1EFA"/>
    <w:rsid w:val="00F01266"/>
    <w:rsid w:val="00F06389"/>
    <w:rsid w:val="00F12CCF"/>
    <w:rsid w:val="00F13460"/>
    <w:rsid w:val="00F205D8"/>
    <w:rsid w:val="00F36362"/>
    <w:rsid w:val="00F4362B"/>
    <w:rsid w:val="00F4450F"/>
    <w:rsid w:val="00F50277"/>
    <w:rsid w:val="00F50375"/>
    <w:rsid w:val="00F507DD"/>
    <w:rsid w:val="00F62E26"/>
    <w:rsid w:val="00F66954"/>
    <w:rsid w:val="00F7669F"/>
    <w:rsid w:val="00F8338C"/>
    <w:rsid w:val="00FA0C85"/>
    <w:rsid w:val="00FA22FE"/>
    <w:rsid w:val="00FB39B3"/>
    <w:rsid w:val="00FC456C"/>
    <w:rsid w:val="00FD1004"/>
    <w:rsid w:val="00FD168A"/>
    <w:rsid w:val="00FD65DA"/>
    <w:rsid w:val="00FD6B08"/>
    <w:rsid w:val="00FD7175"/>
    <w:rsid w:val="00FE40FA"/>
    <w:rsid w:val="00FE659E"/>
    <w:rsid w:val="00FF601D"/>
    <w:rsid w:val="175943C7"/>
    <w:rsid w:val="6BF91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CF23"/>
  <w15:docId w15:val="{030873CF-E1CE-40B5-A893-4D096DC6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pPr>
      <w:jc w:val="left"/>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Autospacing="1" w:afterAutospacing="1"/>
      <w:jc w:val="left"/>
    </w:pPr>
    <w:rPr>
      <w:rFonts w:cs="Times New Roman"/>
      <w:kern w:val="0"/>
      <w:sz w:val="24"/>
      <w:szCs w:val="24"/>
    </w:rPr>
  </w:style>
  <w:style w:type="character" w:styleId="ac">
    <w:name w:val="Strong"/>
    <w:basedOn w:val="a0"/>
    <w:uiPriority w:val="22"/>
    <w:qFormat/>
    <w:rPr>
      <w:b/>
      <w:bCs/>
    </w:rPr>
  </w:style>
  <w:style w:type="character" w:styleId="ad">
    <w:name w:val="annotation reference"/>
    <w:basedOn w:val="a0"/>
    <w:uiPriority w:val="99"/>
    <w:unhideWhenUsed/>
    <w:qFormat/>
    <w:rPr>
      <w:sz w:val="21"/>
      <w:szCs w:val="21"/>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9"/>
    <w:qFormat/>
    <w:rPr>
      <w:rFonts w:asciiTheme="majorHAnsi" w:eastAsiaTheme="majorEastAsia" w:hAnsiTheme="majorHAnsi" w:cstheme="majorBidi"/>
      <w:b/>
      <w:bCs/>
      <w:sz w:val="32"/>
      <w:szCs w:val="32"/>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11">
    <w:name w:val="列表段落1"/>
    <w:basedOn w:val="a"/>
    <w:uiPriority w:val="34"/>
    <w:qFormat/>
    <w:pPr>
      <w:ind w:firstLineChars="200" w:firstLine="420"/>
    </w:pPr>
  </w:style>
  <w:style w:type="character" w:customStyle="1" w:styleId="font21">
    <w:name w:val="font21"/>
    <w:basedOn w:val="a0"/>
    <w:qFormat/>
    <w:rPr>
      <w:rFonts w:ascii="Calibri" w:hAnsi="Calibri" w:cs="Calibri" w:hint="default"/>
      <w:color w:val="000000"/>
      <w:sz w:val="20"/>
      <w:szCs w:val="20"/>
      <w:u w:val="none"/>
    </w:rPr>
  </w:style>
  <w:style w:type="character" w:customStyle="1" w:styleId="30">
    <w:name w:val="标题 3 字符"/>
    <w:basedOn w:val="a0"/>
    <w:link w:val="3"/>
    <w:uiPriority w:val="9"/>
    <w:rPr>
      <w:b/>
      <w:bCs/>
      <w:sz w:val="32"/>
      <w:szCs w:val="32"/>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 w:type="paragraph" w:customStyle="1" w:styleId="12">
    <w:name w:val="修订1"/>
    <w:hidden/>
    <w:uiPriority w:val="99"/>
    <w:semiHidden/>
    <w:rPr>
      <w:kern w:val="2"/>
      <w:sz w:val="21"/>
      <w:szCs w:val="22"/>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4050;&#23436;&#25104;&#24037;&#20316;\2021&#24180;&#30465;&#24180;&#25253;\&#36807;&#31243;&#25991;&#20214;\2021&#24180;&#25253;&#22270;&#34920;&#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all" baseline="0">
                <a:solidFill>
                  <a:schemeClr val="tx1">
                    <a:lumMod val="65000"/>
                    <a:lumOff val="35000"/>
                  </a:schemeClr>
                </a:solidFill>
                <a:latin typeface="黑体" pitchFamily="49" charset="-122"/>
                <a:ea typeface="黑体" pitchFamily="49" charset="-122"/>
                <a:cs typeface="+mn-cs"/>
              </a:defRPr>
            </a:pPr>
            <a:r>
              <a:rPr lang="en-US" altLang="zh-CN">
                <a:latin typeface="黑体" pitchFamily="49" charset="-122"/>
                <a:ea typeface="黑体" pitchFamily="49" charset="-122"/>
              </a:rPr>
              <a:t>2022</a:t>
            </a:r>
            <a:r>
              <a:rPr lang="zh-CN" altLang="en-US">
                <a:latin typeface="黑体" pitchFamily="49" charset="-122"/>
                <a:ea typeface="黑体" pitchFamily="49" charset="-122"/>
              </a:rPr>
              <a:t>全省政府信息公开申请答复情况</a:t>
            </a:r>
          </a:p>
        </c:rich>
      </c:tx>
      <c:layout>
        <c:manualLayout>
          <c:xMode val="edge"/>
          <c:yMode val="edge"/>
          <c:x val="0.12478043383590499"/>
          <c:y val="0.91044856830082199"/>
        </c:manualLayout>
      </c:layout>
      <c:overlay val="0"/>
      <c:spPr>
        <a:noFill/>
        <a:ln>
          <a:noFill/>
        </a:ln>
        <a:effectLst/>
      </c:spPr>
    </c:title>
    <c:autoTitleDeleted val="0"/>
    <c:plotArea>
      <c:layout>
        <c:manualLayout>
          <c:layoutTarget val="inner"/>
          <c:xMode val="edge"/>
          <c:yMode val="edge"/>
          <c:x val="0.18155134145209401"/>
          <c:y val="8.5155135075796196E-2"/>
          <c:w val="0.63689731709581399"/>
          <c:h val="0.75313713162280604"/>
        </c:manualLayout>
      </c:layout>
      <c:pieChart>
        <c:varyColors val="1"/>
        <c:ser>
          <c:idx val="0"/>
          <c:order val="0"/>
          <c:spPr>
            <a:effectLst/>
          </c:spPr>
          <c:dPt>
            <c:idx val="0"/>
            <c:bubble3D val="0"/>
            <c:spPr>
              <a:solidFill>
                <a:schemeClr val="accent1"/>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C8C-45FE-93C4-CBA13C86010E}"/>
              </c:ext>
            </c:extLst>
          </c:dPt>
          <c:dPt>
            <c:idx val="1"/>
            <c:bubble3D val="0"/>
            <c:spPr>
              <a:solidFill>
                <a:schemeClr val="accent2"/>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C8C-45FE-93C4-CBA13C86010E}"/>
              </c:ext>
            </c:extLst>
          </c:dPt>
          <c:dPt>
            <c:idx val="2"/>
            <c:bubble3D val="0"/>
            <c:spPr>
              <a:solidFill>
                <a:schemeClr val="accent3"/>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C8C-45FE-93C4-CBA13C86010E}"/>
              </c:ext>
            </c:extLst>
          </c:dPt>
          <c:dPt>
            <c:idx val="3"/>
            <c:bubble3D val="0"/>
            <c:spPr>
              <a:solidFill>
                <a:schemeClr val="accent4"/>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C8C-45FE-93C4-CBA13C86010E}"/>
              </c:ext>
            </c:extLst>
          </c:dPt>
          <c:dPt>
            <c:idx val="4"/>
            <c:bubble3D val="0"/>
            <c:spPr>
              <a:solidFill>
                <a:schemeClr val="accent5"/>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C8C-45FE-93C4-CBA13C86010E}"/>
              </c:ext>
            </c:extLst>
          </c:dPt>
          <c:dPt>
            <c:idx val="5"/>
            <c:bubble3D val="0"/>
            <c:spPr>
              <a:solidFill>
                <a:schemeClr val="accent6"/>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DC8C-45FE-93C4-CBA13C86010E}"/>
              </c:ext>
            </c:extLst>
          </c:dPt>
          <c:dPt>
            <c:idx val="6"/>
            <c:bubble3D val="0"/>
            <c:spPr>
              <a:solidFill>
                <a:schemeClr val="accent1">
                  <a:lumMod val="6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DC8C-45FE-93C4-CBA13C86010E}"/>
              </c:ext>
            </c:extLst>
          </c:dPt>
          <c:dPt>
            <c:idx val="7"/>
            <c:bubble3D val="0"/>
            <c:spPr>
              <a:solidFill>
                <a:schemeClr val="accent2">
                  <a:lumMod val="6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DC8C-45FE-93C4-CBA13C86010E}"/>
              </c:ext>
            </c:extLst>
          </c:dPt>
          <c:dLbls>
            <c:dLbl>
              <c:idx val="0"/>
              <c:layout>
                <c:manualLayout>
                  <c:x val="2.1436227224008599E-2"/>
                  <c:y val="4.839411285193449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zh-CN" altLang="en-US"/>
                      <a:t>予以公开
</a:t>
                    </a:r>
                    <a:r>
                      <a:rPr lang="en-US" altLang="zh-CN"/>
                      <a:t>43.6%</a:t>
                    </a:r>
                  </a:p>
                </c:rich>
              </c:tx>
              <c:spPr>
                <a:noFill/>
                <a:ln>
                  <a:solidFill>
                    <a:schemeClr val="accent1">
                      <a:lumMod val="75000"/>
                    </a:schemeClr>
                  </a:solid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DC8C-45FE-93C4-CBA13C86010E}"/>
                </c:ext>
              </c:extLst>
            </c:dLbl>
            <c:dLbl>
              <c:idx val="1"/>
              <c:layout>
                <c:manualLayout>
                  <c:x val="0.14709814860586401"/>
                  <c:y val="-2.345058626465669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zh-CN" altLang="en-US"/>
                      <a:t>部分公开
</a:t>
                    </a:r>
                    <a:r>
                      <a:rPr lang="en-US" altLang="zh-CN"/>
                      <a:t>12.2%</a:t>
                    </a:r>
                  </a:p>
                </c:rich>
              </c:tx>
              <c:spPr>
                <a:noFill/>
                <a:ln>
                  <a:solidFill>
                    <a:schemeClr val="accent1">
                      <a:lumMod val="75000"/>
                    </a:schemeClr>
                  </a:solid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DC8C-45FE-93C4-CBA13C86010E}"/>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zh-CN" altLang="en-US"/>
                      <a:t>不予公开
</a:t>
                    </a:r>
                    <a:r>
                      <a:rPr lang="en-US" altLang="zh-CN"/>
                      <a:t>6.7%</a:t>
                    </a:r>
                  </a:p>
                </c:rich>
              </c:tx>
              <c:spPr>
                <a:noFill/>
                <a:ln>
                  <a:solidFill>
                    <a:schemeClr val="accent1">
                      <a:lumMod val="75000"/>
                    </a:schemeClr>
                  </a:solidFill>
                </a:ln>
                <a:effectLst/>
              </c:spPr>
              <c:dLblPos val="outEnd"/>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5-DC8C-45FE-93C4-CBA13C86010E}"/>
                </c:ext>
              </c:extLst>
            </c:dLbl>
            <c:dLbl>
              <c:idx val="3"/>
              <c:tx>
                <c:rich>
                  <a:bodyPr rot="0" spcFirstLastPara="1" vertOverflow="ellipsis" vert="horz" wrap="square" lIns="38100" tIns="19050" rIns="38100" bIns="19050" anchor="ctr" anchorCtr="1">
                    <a:noAutofit/>
                  </a:bodyPr>
                  <a:lstStyle/>
                  <a:p>
                    <a:fld id="{823E37C8-9877-4551-82D3-A2428E01791D}" type="CATEGORYNAME">
                      <a:rPr lang="zh-CN" altLang="en-US" sz="1000">
                        <a:solidFill>
                          <a:schemeClr val="accent4"/>
                        </a:solidFill>
                        <a:latin typeface="+mn-lt"/>
                      </a:rPr>
                      <a:pPr/>
                      <a:t>[类别名称]</a:t>
                    </a:fld>
                    <a:endParaRPr lang="zh-CN" altLang="en-US" sz="1000">
                      <a:solidFill>
                        <a:schemeClr val="accent4"/>
                      </a:solidFill>
                      <a:latin typeface="+mn-lt"/>
                    </a:endParaRPr>
                  </a:p>
                  <a:p>
                    <a:r>
                      <a:rPr lang="en-US" altLang="zh-CN" sz="1000">
                        <a:solidFill>
                          <a:schemeClr val="accent4"/>
                        </a:solidFill>
                        <a:latin typeface="+mn-lt"/>
                      </a:rPr>
                      <a:t>30.7%</a:t>
                    </a:r>
                  </a:p>
                  <a:p>
                    <a:endParaRPr lang="zh-CN" altLang="en-US"/>
                  </a:p>
                </c:rich>
              </c:tx>
              <c:spPr>
                <a:noFill/>
                <a:ln>
                  <a:solidFill>
                    <a:schemeClr val="accent1">
                      <a:lumMod val="75000"/>
                    </a:schemeClr>
                  </a:solidFill>
                </a:ln>
                <a:effectLst/>
              </c:sp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14317673378076101"/>
                      <c:h val="0.10643216080402"/>
                    </c:manualLayout>
                  </c15:layout>
                  <c15:dlblFieldTable/>
                  <c15:showDataLabelsRange val="0"/>
                </c:ext>
                <c:ext xmlns:c16="http://schemas.microsoft.com/office/drawing/2014/chart" uri="{C3380CC4-5D6E-409C-BE32-E72D297353CC}">
                  <c16:uniqueId val="{00000007-DC8C-45FE-93C4-CBA13C86010E}"/>
                </c:ext>
              </c:extLst>
            </c:dLbl>
            <c:dLbl>
              <c:idx val="4"/>
              <c:layout>
                <c:manualLayout>
                  <c:x val="-5.2098990908412197E-2"/>
                  <c:y val="2.164708054709240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zh-CN" altLang="en-US"/>
                      <a:t>不予处理
</a:t>
                    </a:r>
                    <a:r>
                      <a:rPr lang="en-US" altLang="zh-CN"/>
                      <a:t>2.1%</a:t>
                    </a:r>
                  </a:p>
                </c:rich>
              </c:tx>
              <c:spPr>
                <a:noFill/>
                <a:ln>
                  <a:solidFill>
                    <a:schemeClr val="accent1">
                      <a:lumMod val="75000"/>
                    </a:schemeClr>
                  </a:solid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9-DC8C-45FE-93C4-CBA13C86010E}"/>
                </c:ext>
              </c:extLst>
            </c:dLbl>
            <c:dLbl>
              <c:idx val="5"/>
              <c:layout>
                <c:manualLayout>
                  <c:x val="4.0728831725616303E-2"/>
                  <c:y val="-1.7935915007211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zh-CN" altLang="en-US"/>
                      <a:t>其他处理
</a:t>
                    </a:r>
                    <a:r>
                      <a:rPr lang="en-US" altLang="zh-CN"/>
                      <a:t>4.7%</a:t>
                    </a:r>
                  </a:p>
                </c:rich>
              </c:tx>
              <c:spPr>
                <a:noFill/>
                <a:ln>
                  <a:solidFill>
                    <a:schemeClr val="accent1">
                      <a:lumMod val="75000"/>
                    </a:schemeClr>
                  </a:solid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B-DC8C-45FE-93C4-CBA13C86010E}"/>
                </c:ext>
              </c:extLst>
            </c:dLbl>
            <c:dLbl>
              <c:idx val="6"/>
              <c:delete val="1"/>
              <c:extLst>
                <c:ext xmlns:c15="http://schemas.microsoft.com/office/drawing/2012/chart" uri="{CE6537A1-D6FC-4f65-9D91-7224C49458BB}"/>
                <c:ext xmlns:c16="http://schemas.microsoft.com/office/drawing/2014/chart" uri="{C3380CC4-5D6E-409C-BE32-E72D297353CC}">
                  <c16:uniqueId val="{0000000D-DC8C-45FE-93C4-CBA13C86010E}"/>
                </c:ext>
              </c:extLst>
            </c:dLbl>
            <c:dLbl>
              <c:idx val="7"/>
              <c:delete val="1"/>
              <c:extLst>
                <c:ext xmlns:c15="http://schemas.microsoft.com/office/drawing/2012/chart" uri="{CE6537A1-D6FC-4f65-9D91-7224C49458BB}"/>
                <c:ext xmlns:c16="http://schemas.microsoft.com/office/drawing/2014/chart" uri="{C3380CC4-5D6E-409C-BE32-E72D297353CC}">
                  <c16:uniqueId val="{0000000F-DC8C-45FE-93C4-CBA13C86010E}"/>
                </c:ext>
              </c:extLst>
            </c:dLbl>
            <c:spPr>
              <a:ln>
                <a:solidFill>
                  <a:schemeClr val="accent1">
                    <a:lumMod val="75000"/>
                  </a:schemeClr>
                </a:solidFill>
              </a:ln>
              <a:effectLst/>
            </c:spPr>
            <c:txPr>
              <a:bodyPr rot="0" spcFirstLastPara="0" vertOverflow="ellipsis" horzOverflow="overflow" vert="horz" wrap="square" anchor="ctr" anchorCtr="1"/>
              <a:lstStyle/>
              <a:p>
                <a:pPr>
                  <a:defRPr sz="1000" b="0">
                    <a:solidFill>
                      <a:schemeClr val="tx1"/>
                    </a:solidFill>
                    <a:latin typeface="+mn-lt"/>
                    <a:ea typeface="+mn-ea"/>
                    <a:cs typeface="+mn-cs"/>
                  </a:defRPr>
                </a:pPr>
                <a:endParaRPr lang="zh-CN"/>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Sheet2!$A$1:$A$8</c:f>
              <c:strCache>
                <c:ptCount val="6"/>
                <c:pt idx="0">
                  <c:v>予以公开</c:v>
                </c:pt>
                <c:pt idx="1">
                  <c:v>部分公开</c:v>
                </c:pt>
                <c:pt idx="2">
                  <c:v>不予公开</c:v>
                </c:pt>
                <c:pt idx="3">
                  <c:v>无法提供</c:v>
                </c:pt>
                <c:pt idx="4">
                  <c:v>不予处理</c:v>
                </c:pt>
                <c:pt idx="5">
                  <c:v>其他处理</c:v>
                </c:pt>
              </c:strCache>
            </c:strRef>
          </c:cat>
          <c:val>
            <c:numRef>
              <c:f>Sheet2!$B$1:$B$8</c:f>
              <c:numCache>
                <c:formatCode>0.0%</c:formatCode>
                <c:ptCount val="8"/>
                <c:pt idx="0">
                  <c:v>0.436</c:v>
                </c:pt>
                <c:pt idx="1">
                  <c:v>0.122</c:v>
                </c:pt>
                <c:pt idx="2">
                  <c:v>6.7000000000000004E-2</c:v>
                </c:pt>
                <c:pt idx="3" formatCode="0%">
                  <c:v>0.307</c:v>
                </c:pt>
                <c:pt idx="4">
                  <c:v>2.1000000000000001E-2</c:v>
                </c:pt>
                <c:pt idx="5">
                  <c:v>4.7E-2</c:v>
                </c:pt>
              </c:numCache>
            </c:numRef>
          </c:val>
          <c:extLst>
            <c:ext xmlns:c16="http://schemas.microsoft.com/office/drawing/2014/chart" uri="{C3380CC4-5D6E-409C-BE32-E72D297353CC}">
              <c16:uniqueId val="{00000010-DC8C-45FE-93C4-CBA13C86010E}"/>
            </c:ext>
          </c:extLst>
        </c:ser>
        <c:dLbls>
          <c:dLblPos val="bestFit"/>
          <c:showLegendKey val="0"/>
          <c:showVal val="0"/>
          <c:showCatName val="0"/>
          <c:showSerName val="0"/>
          <c:showPercent val="1"/>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ysClr val="windowText" lastClr="000000"/>
      </a:solidFill>
      <a:prstDash val="solid"/>
      <a:round/>
    </a:ln>
    <a:effectLst/>
  </c:spPr>
  <c:txPr>
    <a:bodyPr rot="0" spcFirstLastPara="0" vertOverflow="ellipsis" horzOverflow="overflow" vert="horz" wrap="square" anchor="ctr" anchorCtr="1"/>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0FD83-F21D-4DDC-B5B5-D003CCB7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戚 元华</dc:creator>
  <cp:lastModifiedBy>Administrator</cp:lastModifiedBy>
  <cp:revision>20</cp:revision>
  <cp:lastPrinted>2023-03-27T04:30:00Z</cp:lastPrinted>
  <dcterms:created xsi:type="dcterms:W3CDTF">2023-03-21T02:01:00Z</dcterms:created>
  <dcterms:modified xsi:type="dcterms:W3CDTF">2023-03-30T01:30:00Z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